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19"/>
        <w:tblW w:w="9270" w:type="dxa"/>
        <w:tblCellMar>
          <w:left w:w="120" w:type="dxa"/>
          <w:right w:w="120" w:type="dxa"/>
        </w:tblCellMar>
        <w:tblLook w:val="0000"/>
      </w:tblPr>
      <w:tblGrid>
        <w:gridCol w:w="9270"/>
      </w:tblGrid>
      <w:tr w:rsidR="00A57BA2" w:rsidTr="00D234DC">
        <w:trPr>
          <w:trHeight w:val="465"/>
        </w:trPr>
        <w:tc>
          <w:tcPr>
            <w:tcW w:w="9270" w:type="dxa"/>
          </w:tcPr>
          <w:p w:rsidR="00A57BA2" w:rsidRPr="00C00DCE" w:rsidRDefault="00A57BA2" w:rsidP="00D234DC">
            <w:pPr>
              <w:snapToGrid w:val="0"/>
              <w:spacing w:line="320" w:lineRule="exact"/>
              <w:jc w:val="right"/>
              <w:rPr>
                <w:rFonts w:ascii="黑体" w:eastAsia="黑体"/>
                <w:sz w:val="32"/>
              </w:rPr>
            </w:pPr>
          </w:p>
        </w:tc>
      </w:tr>
    </w:tbl>
    <w:p w:rsidR="00A57BA2" w:rsidRPr="002C7C79" w:rsidRDefault="00A57BA2" w:rsidP="00A57BA2">
      <w:pPr>
        <w:jc w:val="center"/>
        <w:rPr>
          <w:rFonts w:ascii="华文中宋" w:eastAsia="华文中宋" w:hAnsi="华文中宋"/>
          <w:b/>
          <w:sz w:val="36"/>
          <w:szCs w:val="36"/>
        </w:rPr>
      </w:pPr>
      <w:bookmarkStart w:id="0" w:name="Body"/>
      <w:bookmarkEnd w:id="0"/>
      <w:r>
        <w:rPr>
          <w:rFonts w:ascii="华文中宋" w:eastAsia="华文中宋" w:hAnsi="华文中宋" w:hint="eastAsia"/>
          <w:b/>
          <w:sz w:val="36"/>
          <w:szCs w:val="36"/>
        </w:rPr>
        <w:t>中国证券登记结算有限责任公司</w:t>
      </w:r>
      <w:r w:rsidRPr="003F24C1">
        <w:rPr>
          <w:rFonts w:ascii="华文中宋" w:eastAsia="华文中宋" w:hAnsi="华文中宋" w:hint="eastAsia"/>
          <w:b/>
          <w:sz w:val="36"/>
          <w:szCs w:val="36"/>
        </w:rPr>
        <w:t>开放式基金登记结算系统</w:t>
      </w:r>
      <w:r>
        <w:rPr>
          <w:rFonts w:ascii="华文中宋" w:eastAsia="华文中宋" w:hAnsi="华文中宋" w:hint="eastAsia"/>
          <w:b/>
          <w:sz w:val="36"/>
          <w:szCs w:val="36"/>
        </w:rPr>
        <w:t>登记产品在</w:t>
      </w:r>
      <w:r w:rsidRPr="003F24C1">
        <w:rPr>
          <w:rFonts w:ascii="华文中宋" w:eastAsia="华文中宋" w:hAnsi="华文中宋" w:hint="eastAsia"/>
          <w:b/>
          <w:sz w:val="36"/>
          <w:szCs w:val="36"/>
        </w:rPr>
        <w:t>机构间私募产品报价与服务系统</w:t>
      </w:r>
      <w:r>
        <w:rPr>
          <w:rFonts w:ascii="华文中宋" w:eastAsia="华文中宋" w:hAnsi="华文中宋" w:hint="eastAsia"/>
          <w:b/>
          <w:sz w:val="36"/>
          <w:szCs w:val="36"/>
        </w:rPr>
        <w:t>同柜转让</w:t>
      </w:r>
      <w:r w:rsidRPr="002C7C79">
        <w:rPr>
          <w:rFonts w:ascii="华文中宋" w:eastAsia="华文中宋" w:hAnsi="华文中宋" w:hint="eastAsia"/>
          <w:b/>
          <w:sz w:val="36"/>
          <w:szCs w:val="36"/>
        </w:rPr>
        <w:t>业务指引</w:t>
      </w:r>
    </w:p>
    <w:p w:rsidR="00A57BA2" w:rsidRDefault="00A57BA2" w:rsidP="00A57BA2">
      <w:pPr>
        <w:jc w:val="center"/>
        <w:rPr>
          <w:rFonts w:ascii="华文中宋" w:eastAsia="华文中宋" w:hAnsi="华文中宋"/>
          <w:sz w:val="32"/>
          <w:szCs w:val="32"/>
        </w:rPr>
      </w:pPr>
    </w:p>
    <w:p w:rsidR="00641C7F" w:rsidRDefault="00A57BA2" w:rsidP="00C46F10">
      <w:pPr>
        <w:pStyle w:val="ad"/>
        <w:numPr>
          <w:ilvl w:val="0"/>
          <w:numId w:val="1"/>
        </w:numPr>
        <w:spacing w:beforeLines="100" w:afterLines="100"/>
        <w:ind w:left="0" w:firstLineChars="0" w:firstLine="0"/>
        <w:jc w:val="center"/>
        <w:rPr>
          <w:rFonts w:ascii="黑体" w:eastAsia="黑体" w:hAnsi="黑体"/>
          <w:b/>
          <w:sz w:val="32"/>
          <w:szCs w:val="32"/>
        </w:rPr>
      </w:pPr>
      <w:r w:rsidRPr="00B33B77">
        <w:rPr>
          <w:rFonts w:ascii="黑体" w:eastAsia="黑体" w:hAnsi="黑体" w:hint="eastAsia"/>
          <w:b/>
          <w:sz w:val="32"/>
          <w:szCs w:val="32"/>
        </w:rPr>
        <w:t>总则</w:t>
      </w:r>
    </w:p>
    <w:p w:rsidR="00A57BA2" w:rsidRPr="00B33B77"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【依据和目的】</w:t>
      </w:r>
      <w:r w:rsidRPr="00B33B77">
        <w:rPr>
          <w:rFonts w:ascii="仿宋_GB2312" w:eastAsia="仿宋_GB2312" w:hAnsi="仿宋" w:hint="eastAsia"/>
          <w:sz w:val="32"/>
          <w:szCs w:val="32"/>
        </w:rPr>
        <w:t>为</w:t>
      </w:r>
      <w:r>
        <w:rPr>
          <w:rFonts w:ascii="仿宋_GB2312" w:eastAsia="仿宋_GB2312" w:hAnsi="仿宋" w:hint="eastAsia"/>
          <w:sz w:val="32"/>
          <w:szCs w:val="32"/>
        </w:rPr>
        <w:t>推进多层次</w:t>
      </w:r>
      <w:r w:rsidRPr="00F76AAC">
        <w:rPr>
          <w:rFonts w:ascii="仿宋_GB2312" w:eastAsia="仿宋_GB2312" w:hAnsi="仿宋" w:hint="eastAsia"/>
          <w:sz w:val="32"/>
          <w:szCs w:val="32"/>
        </w:rPr>
        <w:t>资本市场</w:t>
      </w:r>
      <w:r>
        <w:rPr>
          <w:rFonts w:ascii="仿宋_GB2312" w:eastAsia="仿宋_GB2312" w:hAnsi="仿宋" w:hint="eastAsia"/>
          <w:sz w:val="32"/>
          <w:szCs w:val="32"/>
        </w:rPr>
        <w:t>体系</w:t>
      </w:r>
      <w:r w:rsidRPr="00F76AAC">
        <w:rPr>
          <w:rFonts w:ascii="仿宋_GB2312" w:eastAsia="仿宋_GB2312" w:hAnsi="仿宋" w:hint="eastAsia"/>
          <w:sz w:val="32"/>
          <w:szCs w:val="32"/>
        </w:rPr>
        <w:t>建设</w:t>
      </w:r>
      <w:r>
        <w:rPr>
          <w:rFonts w:ascii="仿宋_GB2312" w:eastAsia="仿宋_GB2312" w:hAnsi="仿宋" w:hint="eastAsia"/>
          <w:sz w:val="32"/>
          <w:szCs w:val="32"/>
        </w:rPr>
        <w:t>，促进私募市场发展,根</w:t>
      </w:r>
      <w:r w:rsidRPr="00B33B77">
        <w:rPr>
          <w:rFonts w:ascii="仿宋_GB2312" w:eastAsia="仿宋_GB2312" w:hAnsi="仿宋" w:hint="eastAsia"/>
          <w:sz w:val="32"/>
          <w:szCs w:val="32"/>
        </w:rPr>
        <w:t>据《中华人民共和国证券投资基金法》、《</w:t>
      </w:r>
      <w:r w:rsidRPr="00B33B77">
        <w:rPr>
          <w:rFonts w:ascii="仿宋_GB2312" w:eastAsia="仿宋_GB2312" w:hAnsi="仿宋" w:hint="eastAsia"/>
          <w:bCs/>
          <w:sz w:val="32"/>
          <w:szCs w:val="32"/>
        </w:rPr>
        <w:t>私募投资基金监督管理暂行办法</w:t>
      </w:r>
      <w:r w:rsidRPr="00B33B77">
        <w:rPr>
          <w:rFonts w:ascii="仿宋_GB2312" w:eastAsia="仿宋_GB2312" w:hAnsi="仿宋" w:hint="eastAsia"/>
          <w:sz w:val="32"/>
          <w:szCs w:val="32"/>
        </w:rPr>
        <w:t>》等法律法规</w:t>
      </w:r>
      <w:r>
        <w:rPr>
          <w:rFonts w:ascii="仿宋_GB2312" w:eastAsia="仿宋_GB2312" w:hAnsi="仿宋" w:hint="eastAsia"/>
          <w:sz w:val="32"/>
          <w:szCs w:val="32"/>
        </w:rPr>
        <w:t>、</w:t>
      </w:r>
      <w:r w:rsidRPr="00B33B77">
        <w:rPr>
          <w:rFonts w:ascii="仿宋_GB2312" w:eastAsia="仿宋_GB2312" w:hAnsi="仿宋" w:hint="eastAsia"/>
          <w:sz w:val="32"/>
          <w:szCs w:val="32"/>
        </w:rPr>
        <w:t>《机构间私募产品报价与服务系统管理办法（试行）》</w:t>
      </w:r>
      <w:r>
        <w:rPr>
          <w:rFonts w:ascii="仿宋_GB2312" w:eastAsia="仿宋_GB2312" w:hint="eastAsia"/>
          <w:sz w:val="32"/>
          <w:szCs w:val="32"/>
        </w:rPr>
        <w:t>和中国证券登记结算有限责任公司（以下简称“中国结算”）的相关业务规则</w:t>
      </w:r>
      <w:r w:rsidRPr="00B33B77">
        <w:rPr>
          <w:rFonts w:ascii="仿宋_GB2312" w:eastAsia="仿宋_GB2312" w:hAnsi="仿宋" w:hint="eastAsia"/>
          <w:sz w:val="32"/>
          <w:szCs w:val="32"/>
        </w:rPr>
        <w:t>，制定本指引。</w:t>
      </w:r>
    </w:p>
    <w:p w:rsidR="00A57BA2" w:rsidRPr="00B33B77"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【适用范围】登记在</w:t>
      </w:r>
      <w:r w:rsidRPr="00B33B77">
        <w:rPr>
          <w:rFonts w:ascii="仿宋_GB2312" w:eastAsia="仿宋_GB2312" w:hAnsi="仿宋" w:hint="eastAsia"/>
          <w:sz w:val="32"/>
          <w:szCs w:val="32"/>
        </w:rPr>
        <w:t>中国</w:t>
      </w:r>
      <w:r>
        <w:rPr>
          <w:rFonts w:ascii="仿宋_GB2312" w:eastAsia="仿宋_GB2312" w:hAnsi="仿宋" w:hint="eastAsia"/>
          <w:sz w:val="32"/>
          <w:szCs w:val="32"/>
        </w:rPr>
        <w:t>结算</w:t>
      </w:r>
      <w:r w:rsidRPr="00B33B77">
        <w:rPr>
          <w:rFonts w:ascii="仿宋_GB2312" w:eastAsia="仿宋_GB2312" w:hAnsi="仿宋" w:hint="eastAsia"/>
          <w:sz w:val="32"/>
          <w:szCs w:val="32"/>
        </w:rPr>
        <w:t>开放式基金登记结算系统（以下简称“中国结算TA系统”）的产品在机构间私募产品报价与服务系统（以下简</w:t>
      </w:r>
      <w:r>
        <w:rPr>
          <w:rFonts w:ascii="仿宋_GB2312" w:eastAsia="仿宋_GB2312" w:hAnsi="仿宋" w:hint="eastAsia"/>
          <w:sz w:val="32"/>
          <w:szCs w:val="32"/>
        </w:rPr>
        <w:t>称“报价系统”）进行同柜</w:t>
      </w:r>
      <w:r w:rsidRPr="00B33B77">
        <w:rPr>
          <w:rFonts w:ascii="仿宋_GB2312" w:eastAsia="仿宋_GB2312" w:hAnsi="仿宋" w:hint="eastAsia"/>
          <w:sz w:val="32"/>
          <w:szCs w:val="32"/>
        </w:rPr>
        <w:t>转让</w:t>
      </w:r>
      <w:r>
        <w:rPr>
          <w:rFonts w:ascii="仿宋_GB2312" w:eastAsia="仿宋_GB2312" w:hAnsi="仿宋" w:hint="eastAsia"/>
          <w:sz w:val="32"/>
          <w:szCs w:val="32"/>
        </w:rPr>
        <w:t>业务</w:t>
      </w:r>
      <w:r>
        <w:rPr>
          <w:rFonts w:ascii="仿宋_GB2312" w:eastAsia="仿宋_GB2312" w:hint="eastAsia"/>
          <w:sz w:val="32"/>
          <w:szCs w:val="32"/>
        </w:rPr>
        <w:t>，</w:t>
      </w:r>
      <w:r w:rsidRPr="00B33B77">
        <w:rPr>
          <w:rFonts w:ascii="仿宋_GB2312" w:eastAsia="仿宋_GB2312" w:hint="eastAsia"/>
          <w:sz w:val="32"/>
          <w:szCs w:val="32"/>
        </w:rPr>
        <w:t>适用本指引</w:t>
      </w:r>
      <w:r w:rsidRPr="00B33B77">
        <w:rPr>
          <w:rFonts w:ascii="仿宋_GB2312" w:eastAsia="仿宋_GB2312" w:hAnsi="仿宋" w:hint="eastAsia"/>
          <w:sz w:val="32"/>
          <w:szCs w:val="32"/>
        </w:rPr>
        <w:t>。</w:t>
      </w:r>
    </w:p>
    <w:p w:rsidR="00A57BA2" w:rsidRPr="00B33B77"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【同柜释义】</w:t>
      </w:r>
      <w:r w:rsidRPr="00B33B77">
        <w:rPr>
          <w:rFonts w:ascii="仿宋_GB2312" w:eastAsia="仿宋_GB2312" w:hAnsi="仿宋" w:hint="eastAsia"/>
          <w:sz w:val="32"/>
          <w:szCs w:val="32"/>
        </w:rPr>
        <w:t>本指引所称同柜转让业务</w:t>
      </w:r>
      <w:r w:rsidRPr="00B33B77">
        <w:rPr>
          <w:rFonts w:ascii="仿宋_GB2312" w:eastAsia="仿宋_GB2312" w:hint="eastAsia"/>
          <w:sz w:val="32"/>
          <w:szCs w:val="32"/>
        </w:rPr>
        <w:t>是指投资</w:t>
      </w:r>
      <w:r>
        <w:rPr>
          <w:rFonts w:ascii="仿宋_GB2312" w:eastAsia="仿宋_GB2312" w:hint="eastAsia"/>
          <w:sz w:val="32"/>
          <w:szCs w:val="32"/>
        </w:rPr>
        <w:t>者</w:t>
      </w:r>
      <w:r w:rsidRPr="00C1180F">
        <w:rPr>
          <w:rFonts w:ascii="仿宋_GB2312" w:eastAsia="仿宋_GB2312" w:hint="eastAsia"/>
          <w:sz w:val="32"/>
          <w:szCs w:val="32"/>
        </w:rPr>
        <w:t>通过同一销售机构</w:t>
      </w:r>
      <w:r w:rsidRPr="00817061">
        <w:rPr>
          <w:rFonts w:ascii="仿宋_GB2312" w:eastAsia="仿宋_GB2312" w:hint="eastAsia"/>
          <w:sz w:val="32"/>
          <w:szCs w:val="32"/>
        </w:rPr>
        <w:t>进行</w:t>
      </w:r>
      <w:r w:rsidRPr="00B33B77">
        <w:rPr>
          <w:rFonts w:ascii="仿宋_GB2312" w:eastAsia="仿宋_GB2312" w:hint="eastAsia"/>
          <w:sz w:val="32"/>
          <w:szCs w:val="32"/>
        </w:rPr>
        <w:t>份额转让</w:t>
      </w:r>
      <w:r>
        <w:rPr>
          <w:rFonts w:ascii="仿宋_GB2312" w:eastAsia="仿宋_GB2312" w:hint="eastAsia"/>
          <w:sz w:val="32"/>
          <w:szCs w:val="32"/>
        </w:rPr>
        <w:t>的业务</w:t>
      </w:r>
      <w:r w:rsidRPr="00B33B77">
        <w:rPr>
          <w:rFonts w:ascii="仿宋_GB2312" w:eastAsia="仿宋_GB2312" w:hint="eastAsia"/>
          <w:sz w:val="32"/>
          <w:szCs w:val="32"/>
        </w:rPr>
        <w:t>。</w:t>
      </w:r>
    </w:p>
    <w:p w:rsidR="00A57BA2" w:rsidRPr="00B33B77"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【业务管理】</w:t>
      </w:r>
      <w:r w:rsidRPr="00B33B77">
        <w:rPr>
          <w:rFonts w:ascii="仿宋_GB2312" w:eastAsia="仿宋_GB2312" w:hAnsi="仿宋" w:hint="eastAsia"/>
          <w:sz w:val="32"/>
          <w:szCs w:val="32"/>
        </w:rPr>
        <w:t>中证资本市场发展监测中心有限责任公司（以下简称“市场监测中心”）对登记在中国结算TA系统的产品在报价系统的同柜转让</w:t>
      </w:r>
      <w:r>
        <w:rPr>
          <w:rFonts w:ascii="仿宋_GB2312" w:eastAsia="仿宋_GB2312" w:hAnsi="仿宋" w:hint="eastAsia"/>
          <w:sz w:val="32"/>
          <w:szCs w:val="32"/>
        </w:rPr>
        <w:t>业务</w:t>
      </w:r>
      <w:r w:rsidRPr="00B33B77">
        <w:rPr>
          <w:rFonts w:ascii="仿宋_GB2312" w:eastAsia="仿宋_GB2312" w:hAnsi="仿宋" w:hint="eastAsia"/>
          <w:sz w:val="32"/>
          <w:szCs w:val="32"/>
        </w:rPr>
        <w:t>进行管理。</w:t>
      </w:r>
    </w:p>
    <w:p w:rsidR="00A57BA2" w:rsidRPr="007E5996"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lastRenderedPageBreak/>
        <w:t>【登记结算】转让产品的登记结算等业务，按照中国结算有关业务规则办理。</w:t>
      </w:r>
    </w:p>
    <w:p w:rsidR="00641C7F" w:rsidRDefault="00A57BA2" w:rsidP="00C46F10">
      <w:pPr>
        <w:pStyle w:val="ad"/>
        <w:numPr>
          <w:ilvl w:val="0"/>
          <w:numId w:val="1"/>
        </w:numPr>
        <w:spacing w:beforeLines="100" w:afterLines="100"/>
        <w:ind w:left="0" w:firstLineChars="0" w:firstLine="0"/>
        <w:jc w:val="center"/>
        <w:rPr>
          <w:rFonts w:ascii="黑体" w:eastAsia="黑体" w:hAnsi="黑体"/>
          <w:b/>
          <w:sz w:val="32"/>
          <w:szCs w:val="32"/>
        </w:rPr>
      </w:pPr>
      <w:r w:rsidRPr="00B33B77">
        <w:rPr>
          <w:rFonts w:ascii="黑体" w:eastAsia="黑体" w:hAnsi="黑体" w:hint="eastAsia"/>
          <w:b/>
          <w:sz w:val="32"/>
          <w:szCs w:val="32"/>
        </w:rPr>
        <w:t>转让业务办理</w:t>
      </w:r>
    </w:p>
    <w:p w:rsidR="00A57BA2" w:rsidRDefault="00A57BA2" w:rsidP="00A57BA2">
      <w:pPr>
        <w:pStyle w:val="ad"/>
        <w:numPr>
          <w:ilvl w:val="0"/>
          <w:numId w:val="2"/>
        </w:numPr>
        <w:ind w:left="0" w:firstLine="640"/>
        <w:rPr>
          <w:rFonts w:ascii="仿宋_GB2312" w:eastAsia="仿宋_GB2312"/>
          <w:sz w:val="32"/>
          <w:szCs w:val="32"/>
        </w:rPr>
      </w:pPr>
      <w:r>
        <w:rPr>
          <w:rFonts w:ascii="仿宋_GB2312" w:eastAsia="仿宋_GB2312" w:hint="eastAsia"/>
          <w:sz w:val="32"/>
          <w:szCs w:val="32"/>
        </w:rPr>
        <w:t>【产品转让条件】登记在中国结算TA系统、拟在报价系统开展同柜转让业务的产品应当符合下列条件:</w:t>
      </w:r>
    </w:p>
    <w:p w:rsidR="00A57BA2" w:rsidRDefault="00A57BA2" w:rsidP="00A57BA2">
      <w:pPr>
        <w:pStyle w:val="ad"/>
        <w:ind w:firstLineChars="0" w:firstLine="640"/>
        <w:rPr>
          <w:rFonts w:ascii="仿宋_GB2312" w:eastAsia="仿宋_GB2312"/>
          <w:sz w:val="32"/>
          <w:szCs w:val="32"/>
        </w:rPr>
      </w:pPr>
      <w:r>
        <w:rPr>
          <w:rFonts w:ascii="仿宋_GB2312" w:eastAsia="仿宋_GB2312" w:hint="eastAsia"/>
          <w:sz w:val="32"/>
          <w:szCs w:val="32"/>
        </w:rPr>
        <w:t>（一）持有人数不超过200人；</w:t>
      </w:r>
    </w:p>
    <w:p w:rsidR="00A57BA2" w:rsidRDefault="00A57BA2" w:rsidP="00A57BA2">
      <w:pPr>
        <w:pStyle w:val="ad"/>
        <w:ind w:firstLineChars="0" w:firstLine="640"/>
        <w:rPr>
          <w:rFonts w:ascii="仿宋_GB2312" w:eastAsia="仿宋_GB2312"/>
          <w:sz w:val="32"/>
          <w:szCs w:val="32"/>
        </w:rPr>
      </w:pPr>
      <w:r>
        <w:rPr>
          <w:rFonts w:ascii="仿宋_GB2312" w:eastAsia="仿宋_GB2312" w:hint="eastAsia"/>
          <w:sz w:val="32"/>
          <w:szCs w:val="32"/>
        </w:rPr>
        <w:t>（二）产品合同约定可转让；</w:t>
      </w:r>
    </w:p>
    <w:p w:rsidR="00A57BA2" w:rsidRDefault="00A57BA2" w:rsidP="00A57BA2">
      <w:pPr>
        <w:pStyle w:val="ad"/>
        <w:ind w:firstLineChars="0" w:firstLine="640"/>
        <w:rPr>
          <w:rFonts w:ascii="仿宋_GB2312" w:eastAsia="仿宋_GB2312"/>
          <w:sz w:val="32"/>
          <w:szCs w:val="32"/>
        </w:rPr>
      </w:pPr>
      <w:r>
        <w:rPr>
          <w:rFonts w:ascii="仿宋_GB2312" w:eastAsia="仿宋_GB2312" w:hint="eastAsia"/>
          <w:sz w:val="32"/>
          <w:szCs w:val="32"/>
        </w:rPr>
        <w:t>（三）取得有关部门出具的备案确认函</w:t>
      </w:r>
      <w:r w:rsidR="000D0ED1">
        <w:rPr>
          <w:rFonts w:ascii="仿宋_GB2312" w:eastAsia="仿宋_GB2312" w:hint="eastAsia"/>
          <w:sz w:val="32"/>
          <w:szCs w:val="32"/>
        </w:rPr>
        <w:t>或审批函</w:t>
      </w:r>
      <w:r>
        <w:rPr>
          <w:rFonts w:ascii="仿宋_GB2312" w:eastAsia="仿宋_GB2312" w:hint="eastAsia"/>
          <w:sz w:val="32"/>
          <w:szCs w:val="32"/>
        </w:rPr>
        <w:t>；</w:t>
      </w:r>
    </w:p>
    <w:p w:rsidR="00A57BA2" w:rsidRDefault="00A57BA2" w:rsidP="00A57BA2">
      <w:pPr>
        <w:pStyle w:val="ad"/>
        <w:ind w:firstLineChars="0" w:firstLine="640"/>
        <w:rPr>
          <w:rFonts w:ascii="仿宋_GB2312" w:eastAsia="仿宋_GB2312"/>
          <w:sz w:val="32"/>
          <w:szCs w:val="32"/>
        </w:rPr>
      </w:pPr>
      <w:r>
        <w:rPr>
          <w:rFonts w:ascii="仿宋_GB2312" w:eastAsia="仿宋_GB2312" w:hint="eastAsia"/>
          <w:sz w:val="32"/>
          <w:szCs w:val="32"/>
        </w:rPr>
        <w:t>（四）管理人和指定开展同柜转让业务的销售机构同时是中国结算TA系统的参与人和报价系统的参与人</w:t>
      </w:r>
      <w:r w:rsidR="00D72C37">
        <w:rPr>
          <w:rFonts w:ascii="仿宋_GB2312" w:eastAsia="仿宋_GB2312" w:hint="eastAsia"/>
          <w:sz w:val="32"/>
          <w:szCs w:val="32"/>
        </w:rPr>
        <w:t>，</w:t>
      </w:r>
      <w:r w:rsidR="00D72C37">
        <w:rPr>
          <w:rFonts w:ascii="仿宋_GB2312" w:eastAsia="仿宋_GB2312"/>
          <w:sz w:val="32"/>
          <w:szCs w:val="32"/>
        </w:rPr>
        <w:t>且具有</w:t>
      </w:r>
      <w:r w:rsidR="00D72C37">
        <w:rPr>
          <w:rFonts w:ascii="仿宋_GB2312" w:eastAsia="仿宋_GB2312" w:hint="eastAsia"/>
          <w:sz w:val="32"/>
          <w:szCs w:val="32"/>
        </w:rPr>
        <w:t>报价</w:t>
      </w:r>
      <w:r w:rsidR="00D72C37">
        <w:rPr>
          <w:rFonts w:ascii="仿宋_GB2312" w:eastAsia="仿宋_GB2312"/>
          <w:sz w:val="32"/>
          <w:szCs w:val="32"/>
        </w:rPr>
        <w:t>系统代理交易类业务权限</w:t>
      </w:r>
      <w:r>
        <w:rPr>
          <w:rFonts w:ascii="仿宋_GB2312" w:eastAsia="仿宋_GB2312" w:hint="eastAsia"/>
          <w:sz w:val="32"/>
          <w:szCs w:val="32"/>
        </w:rPr>
        <w:t>；</w:t>
      </w:r>
    </w:p>
    <w:p w:rsidR="00A57BA2" w:rsidRPr="006A5F53" w:rsidRDefault="00A57BA2" w:rsidP="00A57BA2">
      <w:pPr>
        <w:pStyle w:val="ad"/>
        <w:ind w:firstLineChars="0" w:firstLine="640"/>
        <w:rPr>
          <w:rFonts w:ascii="仿宋_GB2312" w:eastAsia="仿宋_GB2312"/>
          <w:sz w:val="32"/>
          <w:szCs w:val="32"/>
        </w:rPr>
      </w:pPr>
      <w:r>
        <w:rPr>
          <w:rFonts w:ascii="仿宋_GB2312" w:eastAsia="仿宋_GB2312" w:hint="eastAsia"/>
          <w:sz w:val="32"/>
          <w:szCs w:val="32"/>
        </w:rPr>
        <w:t>（五）中国结算和市场监测中心规定的其他条件。</w:t>
      </w:r>
    </w:p>
    <w:p w:rsidR="00A57BA2" w:rsidRPr="00437FEB" w:rsidRDefault="00A57BA2" w:rsidP="00A57BA2">
      <w:pPr>
        <w:pStyle w:val="ad"/>
        <w:numPr>
          <w:ilvl w:val="0"/>
          <w:numId w:val="2"/>
        </w:numPr>
        <w:ind w:left="0" w:firstLine="640"/>
        <w:rPr>
          <w:rFonts w:ascii="仿宋_GB2312" w:eastAsia="仿宋_GB2312" w:hAnsi="仿宋"/>
          <w:sz w:val="32"/>
          <w:szCs w:val="32"/>
        </w:rPr>
      </w:pPr>
      <w:r>
        <w:rPr>
          <w:rFonts w:ascii="仿宋_GB2312" w:eastAsia="仿宋_GB2312" w:hAnsi="仿宋" w:hint="eastAsia"/>
          <w:sz w:val="32"/>
          <w:szCs w:val="32"/>
        </w:rPr>
        <w:t>【转让测试】在报价系统开展同柜转让业务前，产品管理人及销售机构应当通过市场监测中心和中国结算组织的同柜转让业务测试。</w:t>
      </w:r>
    </w:p>
    <w:p w:rsidR="00A57BA2" w:rsidRPr="00C048A0" w:rsidRDefault="00A57BA2" w:rsidP="00A57BA2">
      <w:pPr>
        <w:pStyle w:val="ad"/>
        <w:numPr>
          <w:ilvl w:val="0"/>
          <w:numId w:val="2"/>
        </w:numPr>
        <w:ind w:left="0" w:firstLine="640"/>
        <w:rPr>
          <w:rFonts w:ascii="仿宋_GB2312" w:eastAsia="仿宋_GB2312" w:hAnsi="仿宋"/>
          <w:sz w:val="32"/>
          <w:szCs w:val="32"/>
        </w:rPr>
      </w:pPr>
      <w:r>
        <w:rPr>
          <w:rFonts w:ascii="仿宋_GB2312" w:eastAsia="仿宋_GB2312" w:hAnsi="仿宋" w:hint="eastAsia"/>
          <w:sz w:val="32"/>
          <w:szCs w:val="32"/>
        </w:rPr>
        <w:t>【转让申请】拟</w:t>
      </w:r>
      <w:r w:rsidRPr="007C0700">
        <w:rPr>
          <w:rFonts w:ascii="仿宋_GB2312" w:eastAsia="仿宋_GB2312" w:hAnsi="仿宋" w:hint="eastAsia"/>
          <w:sz w:val="32"/>
          <w:szCs w:val="32"/>
        </w:rPr>
        <w:t>在</w:t>
      </w:r>
      <w:r w:rsidRPr="00C048A0">
        <w:rPr>
          <w:rFonts w:ascii="仿宋_GB2312" w:eastAsia="仿宋_GB2312" w:hAnsi="仿宋" w:hint="eastAsia"/>
          <w:sz w:val="32"/>
          <w:szCs w:val="32"/>
        </w:rPr>
        <w:t>报价系统开展同柜转让业务的，产品管理人应当向中国结算提交开展同柜转让业务申请书等材料。申请书应当载明开展同柜转让业务的产品名称及其代码、管理人名称及其机构代码、指定开展同柜转让业务的销售机构名称及其代码等。</w:t>
      </w:r>
    </w:p>
    <w:p w:rsidR="00A57BA2" w:rsidRPr="00C048A0" w:rsidRDefault="00A57BA2" w:rsidP="00A57BA2">
      <w:pPr>
        <w:ind w:firstLineChars="200" w:firstLine="640"/>
        <w:rPr>
          <w:rFonts w:ascii="仿宋_GB2312" w:eastAsia="仿宋_GB2312" w:hAnsi="仿宋"/>
          <w:sz w:val="32"/>
          <w:szCs w:val="32"/>
        </w:rPr>
      </w:pPr>
      <w:r w:rsidRPr="00C048A0">
        <w:rPr>
          <w:rFonts w:ascii="仿宋_GB2312" w:eastAsia="仿宋_GB2312" w:hAnsi="仿宋" w:hint="eastAsia"/>
          <w:sz w:val="32"/>
          <w:szCs w:val="32"/>
        </w:rPr>
        <w:lastRenderedPageBreak/>
        <w:t>中国结算收到上述材料后，</w:t>
      </w:r>
      <w:r w:rsidR="00D72C37">
        <w:rPr>
          <w:rFonts w:ascii="仿宋_GB2312" w:eastAsia="仿宋_GB2312" w:hAnsi="仿宋" w:hint="eastAsia"/>
          <w:sz w:val="32"/>
          <w:szCs w:val="32"/>
        </w:rPr>
        <w:t>在</w:t>
      </w:r>
      <w:r w:rsidR="00B51BF6">
        <w:rPr>
          <w:rFonts w:ascii="仿宋_GB2312" w:eastAsia="仿宋_GB2312" w:hAnsi="仿宋" w:hint="eastAsia"/>
          <w:sz w:val="32"/>
          <w:szCs w:val="32"/>
        </w:rPr>
        <w:t>三个</w:t>
      </w:r>
      <w:r w:rsidR="00D72C37">
        <w:rPr>
          <w:rFonts w:ascii="仿宋_GB2312" w:eastAsia="仿宋_GB2312" w:hAnsi="仿宋"/>
          <w:sz w:val="32"/>
          <w:szCs w:val="32"/>
        </w:rPr>
        <w:t>工作日内</w:t>
      </w:r>
      <w:r w:rsidRPr="00C048A0">
        <w:rPr>
          <w:rFonts w:ascii="仿宋_GB2312" w:eastAsia="仿宋_GB2312" w:hAnsi="仿宋" w:hint="eastAsia"/>
          <w:sz w:val="32"/>
          <w:szCs w:val="32"/>
        </w:rPr>
        <w:t>完成相关参数配置，并向管理人发送开</w:t>
      </w:r>
      <w:r w:rsidR="00FC39DA">
        <w:rPr>
          <w:rFonts w:ascii="仿宋_GB2312" w:eastAsia="仿宋_GB2312" w:hAnsi="仿宋" w:hint="eastAsia"/>
          <w:sz w:val="32"/>
          <w:szCs w:val="32"/>
        </w:rPr>
        <w:t>展</w:t>
      </w:r>
      <w:r w:rsidRPr="00C048A0">
        <w:rPr>
          <w:rFonts w:ascii="仿宋_GB2312" w:eastAsia="仿宋_GB2312" w:hAnsi="仿宋" w:hint="eastAsia"/>
          <w:sz w:val="32"/>
          <w:szCs w:val="32"/>
        </w:rPr>
        <w:t>同柜转让业务申请书回执。</w:t>
      </w:r>
    </w:p>
    <w:p w:rsidR="00A57BA2" w:rsidRPr="00D334AE"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【产品注册】取得中国结算申请书回执后，</w:t>
      </w:r>
      <w:r w:rsidRPr="00B33B77">
        <w:rPr>
          <w:rFonts w:ascii="仿宋_GB2312" w:eastAsia="仿宋_GB2312" w:hAnsi="仿宋" w:hint="eastAsia"/>
          <w:sz w:val="32"/>
          <w:szCs w:val="32"/>
        </w:rPr>
        <w:t>管</w:t>
      </w:r>
      <w:r w:rsidRPr="00B33B77">
        <w:rPr>
          <w:rFonts w:ascii="仿宋_GB2312" w:eastAsia="仿宋_GB2312" w:hint="eastAsia"/>
          <w:sz w:val="32"/>
          <w:szCs w:val="32"/>
        </w:rPr>
        <w:t>理人</w:t>
      </w:r>
      <w:r>
        <w:rPr>
          <w:rFonts w:ascii="仿宋_GB2312" w:eastAsia="仿宋_GB2312" w:hint="eastAsia"/>
          <w:sz w:val="32"/>
          <w:szCs w:val="32"/>
        </w:rPr>
        <w:t>应当提前三个</w:t>
      </w:r>
      <w:r w:rsidR="008450D5">
        <w:rPr>
          <w:rFonts w:ascii="仿宋_GB2312" w:eastAsia="仿宋_GB2312" w:hint="eastAsia"/>
          <w:sz w:val="32"/>
          <w:szCs w:val="32"/>
        </w:rPr>
        <w:t>工作</w:t>
      </w:r>
      <w:r>
        <w:rPr>
          <w:rFonts w:ascii="仿宋_GB2312" w:eastAsia="仿宋_GB2312" w:hint="eastAsia"/>
          <w:sz w:val="32"/>
          <w:szCs w:val="32"/>
        </w:rPr>
        <w:t>日在报价系统进行转让注册，提交以下材料：</w:t>
      </w:r>
    </w:p>
    <w:p w:rsidR="00A57BA2" w:rsidRDefault="00A57BA2" w:rsidP="00A57BA2">
      <w:pPr>
        <w:pStyle w:val="ad"/>
        <w:ind w:left="567" w:firstLineChars="0" w:firstLine="0"/>
        <w:rPr>
          <w:rFonts w:ascii="仿宋_GB2312" w:eastAsia="仿宋_GB2312"/>
          <w:sz w:val="32"/>
          <w:szCs w:val="32"/>
        </w:rPr>
      </w:pPr>
      <w:r>
        <w:rPr>
          <w:rFonts w:ascii="仿宋_GB2312" w:eastAsia="仿宋_GB2312" w:hint="eastAsia"/>
          <w:sz w:val="32"/>
          <w:szCs w:val="32"/>
        </w:rPr>
        <w:t>（一）转让申请表；</w:t>
      </w:r>
    </w:p>
    <w:p w:rsidR="00A57BA2" w:rsidRDefault="00A57BA2" w:rsidP="00A57BA2">
      <w:pPr>
        <w:pStyle w:val="ad"/>
        <w:ind w:left="567" w:firstLineChars="0" w:firstLine="0"/>
        <w:rPr>
          <w:rFonts w:ascii="仿宋_GB2312" w:eastAsia="仿宋_GB2312"/>
          <w:sz w:val="32"/>
          <w:szCs w:val="32"/>
        </w:rPr>
      </w:pPr>
      <w:r>
        <w:rPr>
          <w:rFonts w:ascii="仿宋_GB2312" w:eastAsia="仿宋_GB2312" w:hint="eastAsia"/>
          <w:sz w:val="32"/>
          <w:szCs w:val="32"/>
        </w:rPr>
        <w:t>（二）产品合同、产品说明书和风险揭示书；</w:t>
      </w:r>
    </w:p>
    <w:p w:rsidR="00A57BA2" w:rsidRDefault="00A57BA2" w:rsidP="00A57BA2">
      <w:pPr>
        <w:pStyle w:val="ad"/>
        <w:ind w:left="567" w:firstLineChars="0" w:firstLine="0"/>
        <w:rPr>
          <w:rFonts w:ascii="仿宋_GB2312" w:eastAsia="仿宋_GB2312"/>
          <w:sz w:val="32"/>
          <w:szCs w:val="32"/>
        </w:rPr>
      </w:pPr>
      <w:r>
        <w:rPr>
          <w:rFonts w:ascii="仿宋_GB2312" w:eastAsia="仿宋_GB2312" w:hint="eastAsia"/>
          <w:sz w:val="32"/>
          <w:szCs w:val="32"/>
        </w:rPr>
        <w:t>（</w:t>
      </w:r>
      <w:r w:rsidR="00D72C37">
        <w:rPr>
          <w:rFonts w:ascii="仿宋_GB2312" w:eastAsia="仿宋_GB2312" w:hint="eastAsia"/>
          <w:sz w:val="32"/>
          <w:szCs w:val="32"/>
        </w:rPr>
        <w:t>三</w:t>
      </w:r>
      <w:r>
        <w:rPr>
          <w:rFonts w:ascii="仿宋_GB2312" w:eastAsia="仿宋_GB2312" w:hint="eastAsia"/>
          <w:sz w:val="32"/>
          <w:szCs w:val="32"/>
        </w:rPr>
        <w:t>）有关部门出具的备案函</w:t>
      </w:r>
      <w:r w:rsidR="000B5646">
        <w:rPr>
          <w:rFonts w:ascii="仿宋_GB2312" w:eastAsia="仿宋_GB2312" w:hint="eastAsia"/>
          <w:sz w:val="32"/>
          <w:szCs w:val="32"/>
        </w:rPr>
        <w:t>或审批函</w:t>
      </w:r>
      <w:r>
        <w:rPr>
          <w:rFonts w:ascii="仿宋_GB2312" w:eastAsia="仿宋_GB2312" w:hint="eastAsia"/>
          <w:sz w:val="32"/>
          <w:szCs w:val="32"/>
        </w:rPr>
        <w:t>；</w:t>
      </w:r>
    </w:p>
    <w:p w:rsidR="00A57BA2" w:rsidRDefault="00A57BA2" w:rsidP="00A57BA2">
      <w:pPr>
        <w:pStyle w:val="ad"/>
        <w:ind w:left="567" w:firstLineChars="0" w:firstLine="0"/>
        <w:rPr>
          <w:rFonts w:ascii="仿宋_GB2312" w:eastAsia="仿宋_GB2312"/>
          <w:sz w:val="32"/>
          <w:szCs w:val="32"/>
        </w:rPr>
      </w:pPr>
      <w:r w:rsidRPr="00C1180F">
        <w:rPr>
          <w:rFonts w:ascii="仿宋_GB2312" w:eastAsia="仿宋_GB2312" w:hint="eastAsia"/>
          <w:sz w:val="32"/>
          <w:szCs w:val="32"/>
        </w:rPr>
        <w:t>（</w:t>
      </w:r>
      <w:r w:rsidR="00D72C37">
        <w:rPr>
          <w:rFonts w:ascii="仿宋_GB2312" w:eastAsia="仿宋_GB2312" w:hint="eastAsia"/>
          <w:sz w:val="32"/>
          <w:szCs w:val="32"/>
        </w:rPr>
        <w:t>四</w:t>
      </w:r>
      <w:r w:rsidRPr="00C1180F">
        <w:rPr>
          <w:rFonts w:ascii="仿宋_GB2312" w:eastAsia="仿宋_GB2312" w:hint="eastAsia"/>
          <w:sz w:val="32"/>
          <w:szCs w:val="32"/>
        </w:rPr>
        <w:t>）</w:t>
      </w:r>
      <w:r>
        <w:rPr>
          <w:rFonts w:ascii="仿宋_GB2312" w:eastAsia="仿宋_GB2312" w:hint="eastAsia"/>
          <w:sz w:val="32"/>
          <w:szCs w:val="32"/>
        </w:rPr>
        <w:t>中国结算出具的开展同柜转让业务申请书</w:t>
      </w:r>
      <w:r w:rsidRPr="00B33B77">
        <w:rPr>
          <w:rFonts w:ascii="仿宋_GB2312" w:eastAsia="仿宋_GB2312" w:hint="eastAsia"/>
          <w:sz w:val="32"/>
          <w:szCs w:val="32"/>
        </w:rPr>
        <w:t>回执</w:t>
      </w:r>
      <w:r w:rsidRPr="00C1180F">
        <w:rPr>
          <w:rFonts w:ascii="仿宋_GB2312" w:eastAsia="仿宋_GB2312" w:hint="eastAsia"/>
          <w:sz w:val="32"/>
          <w:szCs w:val="32"/>
        </w:rPr>
        <w:t>；</w:t>
      </w:r>
    </w:p>
    <w:p w:rsidR="00A57BA2" w:rsidRDefault="00A57BA2" w:rsidP="00A57BA2">
      <w:pPr>
        <w:pStyle w:val="ad"/>
        <w:ind w:left="567" w:firstLineChars="0" w:firstLine="0"/>
        <w:rPr>
          <w:rFonts w:ascii="仿宋_GB2312" w:eastAsia="仿宋_GB2312" w:hAnsi="仿宋"/>
          <w:sz w:val="32"/>
          <w:szCs w:val="32"/>
        </w:rPr>
      </w:pPr>
      <w:r>
        <w:rPr>
          <w:rFonts w:ascii="仿宋_GB2312" w:eastAsia="仿宋_GB2312" w:hint="eastAsia"/>
          <w:sz w:val="32"/>
          <w:szCs w:val="32"/>
        </w:rPr>
        <w:t>（</w:t>
      </w:r>
      <w:r w:rsidR="00D72C37">
        <w:rPr>
          <w:rFonts w:ascii="仿宋_GB2312" w:eastAsia="仿宋_GB2312" w:hint="eastAsia"/>
          <w:sz w:val="32"/>
          <w:szCs w:val="32"/>
        </w:rPr>
        <w:t>五</w:t>
      </w:r>
      <w:r>
        <w:rPr>
          <w:rFonts w:ascii="仿宋_GB2312" w:eastAsia="仿宋_GB2312" w:hint="eastAsia"/>
          <w:sz w:val="32"/>
          <w:szCs w:val="32"/>
        </w:rPr>
        <w:t>）市场监测中心要求的其他材料。</w:t>
      </w:r>
    </w:p>
    <w:p w:rsidR="00A57BA2" w:rsidRPr="000846C8"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【注册审核】市场监测中心在一个</w:t>
      </w:r>
      <w:r w:rsidR="008450D5">
        <w:rPr>
          <w:rFonts w:ascii="仿宋_GB2312" w:eastAsia="仿宋_GB2312" w:hAnsi="仿宋" w:hint="eastAsia"/>
          <w:sz w:val="32"/>
          <w:szCs w:val="32"/>
        </w:rPr>
        <w:t>工作</w:t>
      </w:r>
      <w:r>
        <w:rPr>
          <w:rFonts w:ascii="仿宋_GB2312" w:eastAsia="仿宋_GB2312" w:hAnsi="仿宋" w:hint="eastAsia"/>
          <w:sz w:val="32"/>
          <w:szCs w:val="32"/>
        </w:rPr>
        <w:t>日内对转让注册材料进行审核。审核通过的，报价系统为产品开通同柜转让业务。</w:t>
      </w:r>
    </w:p>
    <w:p w:rsidR="00A57BA2"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int="eastAsia"/>
          <w:sz w:val="32"/>
          <w:szCs w:val="32"/>
        </w:rPr>
        <w:t>【销售机构变更】指定销售机构不再继续办理同柜转让业务的，管理人应当书面通知中国结算终止为该销售机构办理同柜转让业务。通知应当载明停止办理同柜转让业务的指定销售机构名称及其代码、产品名称及其代码、管理人名称及其代码，以及指定销售机构终止办理同柜转让业务的日期。</w:t>
      </w:r>
    </w:p>
    <w:p w:rsidR="00A57BA2"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【产品展期】产品拟</w:t>
      </w:r>
      <w:r w:rsidRPr="005B348A">
        <w:rPr>
          <w:rFonts w:ascii="仿宋_GB2312" w:eastAsia="仿宋_GB2312" w:hAnsi="仿宋" w:hint="eastAsia"/>
          <w:sz w:val="32"/>
          <w:szCs w:val="32"/>
        </w:rPr>
        <w:t>展期且份额拟继续在</w:t>
      </w:r>
      <w:r>
        <w:rPr>
          <w:rFonts w:ascii="仿宋_GB2312" w:eastAsia="仿宋_GB2312" w:hAnsi="仿宋" w:hint="eastAsia"/>
          <w:sz w:val="32"/>
          <w:szCs w:val="32"/>
        </w:rPr>
        <w:t>报价系统</w:t>
      </w:r>
      <w:r w:rsidRPr="005B348A">
        <w:rPr>
          <w:rFonts w:ascii="仿宋_GB2312" w:eastAsia="仿宋_GB2312" w:hAnsi="仿宋" w:hint="eastAsia"/>
          <w:sz w:val="32"/>
          <w:szCs w:val="32"/>
        </w:rPr>
        <w:t>转让的，管理人应当于</w:t>
      </w:r>
      <w:r>
        <w:rPr>
          <w:rFonts w:ascii="仿宋_GB2312" w:eastAsia="仿宋_GB2312" w:hAnsi="仿宋" w:hint="eastAsia"/>
          <w:sz w:val="32"/>
          <w:szCs w:val="32"/>
        </w:rPr>
        <w:t>产品</w:t>
      </w:r>
      <w:r w:rsidRPr="005B348A">
        <w:rPr>
          <w:rFonts w:ascii="仿宋_GB2312" w:eastAsia="仿宋_GB2312" w:hAnsi="仿宋" w:hint="eastAsia"/>
          <w:sz w:val="32"/>
          <w:szCs w:val="32"/>
        </w:rPr>
        <w:t>到期前一个月向</w:t>
      </w:r>
      <w:r>
        <w:rPr>
          <w:rFonts w:ascii="仿宋_GB2312" w:eastAsia="仿宋_GB2312" w:hAnsi="仿宋" w:hint="eastAsia"/>
          <w:sz w:val="32"/>
          <w:szCs w:val="32"/>
        </w:rPr>
        <w:t>报价系统</w:t>
      </w:r>
      <w:r w:rsidRPr="005B348A">
        <w:rPr>
          <w:rFonts w:ascii="仿宋_GB2312" w:eastAsia="仿宋_GB2312" w:hAnsi="仿宋" w:hint="eastAsia"/>
          <w:sz w:val="32"/>
          <w:szCs w:val="32"/>
        </w:rPr>
        <w:t>提交展期相关材料及继续提供转让服务的申请。</w:t>
      </w:r>
    </w:p>
    <w:p w:rsidR="00A57BA2" w:rsidRDefault="00A57BA2" w:rsidP="00A57BA2">
      <w:pPr>
        <w:pStyle w:val="ad"/>
        <w:numPr>
          <w:ilvl w:val="0"/>
          <w:numId w:val="2"/>
        </w:numPr>
        <w:ind w:left="0" w:firstLineChars="177" w:firstLine="566"/>
        <w:rPr>
          <w:rFonts w:ascii="仿宋_GB2312" w:eastAsia="仿宋_GB2312" w:hAnsi="仿宋"/>
          <w:sz w:val="32"/>
          <w:szCs w:val="32"/>
        </w:rPr>
      </w:pPr>
      <w:r>
        <w:rPr>
          <w:rFonts w:ascii="仿宋_GB2312" w:eastAsia="仿宋_GB2312" w:hAnsi="仿宋" w:hint="eastAsia"/>
          <w:sz w:val="32"/>
          <w:szCs w:val="32"/>
        </w:rPr>
        <w:t>【成交方式】产品转让可以采取协议成交、点击</w:t>
      </w:r>
      <w:r>
        <w:rPr>
          <w:rFonts w:ascii="仿宋_GB2312" w:eastAsia="仿宋_GB2312" w:hAnsi="仿宋" w:hint="eastAsia"/>
          <w:sz w:val="32"/>
          <w:szCs w:val="32"/>
        </w:rPr>
        <w:lastRenderedPageBreak/>
        <w:t>成交等方式，转让业务应当遵守《机构间私募产品报价与服务系统发行与转让业务规则</w:t>
      </w:r>
      <w:r w:rsidR="00FC39DA">
        <w:rPr>
          <w:rFonts w:ascii="仿宋_GB2312" w:eastAsia="仿宋_GB2312" w:hAnsi="仿宋" w:hint="eastAsia"/>
          <w:sz w:val="32"/>
          <w:szCs w:val="32"/>
        </w:rPr>
        <w:t>（试行）</w:t>
      </w:r>
      <w:r>
        <w:rPr>
          <w:rFonts w:ascii="仿宋_GB2312" w:eastAsia="仿宋_GB2312" w:hAnsi="仿宋" w:hint="eastAsia"/>
          <w:sz w:val="32"/>
          <w:szCs w:val="32"/>
        </w:rPr>
        <w:t>》相关规定。</w:t>
      </w:r>
    </w:p>
    <w:p w:rsidR="00A57BA2" w:rsidRDefault="00A57BA2" w:rsidP="00A57BA2">
      <w:pPr>
        <w:pStyle w:val="ad"/>
        <w:numPr>
          <w:ilvl w:val="0"/>
          <w:numId w:val="2"/>
        </w:numPr>
        <w:ind w:left="0" w:firstLineChars="177" w:firstLine="566"/>
        <w:rPr>
          <w:rFonts w:ascii="仿宋_GB2312" w:eastAsia="仿宋_GB2312" w:hAnsi="仿宋"/>
          <w:sz w:val="32"/>
          <w:szCs w:val="32"/>
        </w:rPr>
      </w:pPr>
      <w:r>
        <w:rPr>
          <w:rFonts w:ascii="仿宋_GB2312" w:eastAsia="仿宋_GB2312" w:hAnsi="仿宋" w:hint="eastAsia"/>
          <w:sz w:val="32"/>
          <w:szCs w:val="32"/>
        </w:rPr>
        <w:t>【账户开立】拟参与报价系统同柜转让业务的，投资者应当在</w:t>
      </w:r>
      <w:r w:rsidRPr="00FA2D71">
        <w:rPr>
          <w:rFonts w:ascii="仿宋_GB2312" w:eastAsia="仿宋_GB2312" w:hAnsi="宋体" w:cs="仿宋_GB2312" w:hint="eastAsia"/>
          <w:sz w:val="32"/>
          <w:szCs w:val="32"/>
        </w:rPr>
        <w:t>中国</w:t>
      </w:r>
      <w:r w:rsidRPr="001A4EC6">
        <w:rPr>
          <w:rFonts w:ascii="仿宋_GB2312" w:eastAsia="仿宋_GB2312" w:hAnsi="宋体" w:cs="仿宋_GB2312" w:hint="eastAsia"/>
          <w:sz w:val="32"/>
          <w:szCs w:val="32"/>
        </w:rPr>
        <w:t>结算</w:t>
      </w:r>
      <w:r>
        <w:rPr>
          <w:rFonts w:ascii="仿宋_GB2312" w:eastAsia="仿宋_GB2312" w:hAnsi="宋体" w:cs="仿宋_GB2312" w:hint="eastAsia"/>
          <w:sz w:val="32"/>
          <w:szCs w:val="32"/>
        </w:rPr>
        <w:t>TA系统开立</w:t>
      </w:r>
      <w:r w:rsidRPr="001A4EC6">
        <w:rPr>
          <w:rFonts w:ascii="仿宋_GB2312" w:eastAsia="仿宋_GB2312" w:hAnsi="宋体" w:cs="仿宋_GB2312" w:hint="eastAsia"/>
          <w:sz w:val="32"/>
          <w:szCs w:val="32"/>
        </w:rPr>
        <w:t>基金账户，</w:t>
      </w:r>
      <w:r>
        <w:rPr>
          <w:rFonts w:ascii="仿宋_GB2312" w:eastAsia="仿宋_GB2312" w:hAnsi="宋体" w:cs="仿宋_GB2312" w:hint="eastAsia"/>
          <w:sz w:val="32"/>
          <w:szCs w:val="32"/>
        </w:rPr>
        <w:t>在指定销售机构</w:t>
      </w:r>
      <w:r w:rsidRPr="001A4EC6">
        <w:rPr>
          <w:rFonts w:ascii="仿宋_GB2312" w:eastAsia="仿宋_GB2312" w:hAnsi="宋体" w:cs="仿宋_GB2312" w:hint="eastAsia"/>
          <w:sz w:val="32"/>
          <w:szCs w:val="32"/>
        </w:rPr>
        <w:t>开立</w:t>
      </w:r>
      <w:r>
        <w:rPr>
          <w:rFonts w:ascii="仿宋_GB2312" w:eastAsia="仿宋_GB2312" w:hAnsi="宋体" w:cs="仿宋_GB2312" w:hint="eastAsia"/>
          <w:sz w:val="32"/>
          <w:szCs w:val="32"/>
        </w:rPr>
        <w:t>产品账户。</w:t>
      </w:r>
    </w:p>
    <w:p w:rsidR="00A57BA2" w:rsidRPr="00437FEB" w:rsidRDefault="00A57BA2" w:rsidP="00A57BA2">
      <w:pPr>
        <w:pStyle w:val="ad"/>
        <w:numPr>
          <w:ilvl w:val="0"/>
          <w:numId w:val="2"/>
        </w:numPr>
        <w:ind w:left="0" w:firstLineChars="177" w:firstLine="566"/>
        <w:rPr>
          <w:rFonts w:ascii="仿宋_GB2312" w:eastAsia="仿宋_GB2312" w:hAnsi="仿宋"/>
          <w:sz w:val="32"/>
          <w:szCs w:val="32"/>
        </w:rPr>
      </w:pPr>
      <w:r>
        <w:rPr>
          <w:rFonts w:ascii="仿宋_GB2312" w:eastAsia="仿宋_GB2312" w:hAnsi="仿宋" w:hint="eastAsia"/>
          <w:sz w:val="32"/>
          <w:szCs w:val="32"/>
        </w:rPr>
        <w:t>【转让信息填报】</w:t>
      </w:r>
      <w:r w:rsidRPr="00437FEB">
        <w:rPr>
          <w:rFonts w:ascii="仿宋_GB2312" w:eastAsia="仿宋_GB2312" w:hAnsi="仿宋" w:hint="eastAsia"/>
          <w:sz w:val="32"/>
          <w:szCs w:val="32"/>
        </w:rPr>
        <w:t>投资者</w:t>
      </w:r>
      <w:r>
        <w:rPr>
          <w:rFonts w:ascii="仿宋_GB2312" w:eastAsia="仿宋_GB2312" w:hAnsi="仿宋" w:hint="eastAsia"/>
          <w:sz w:val="32"/>
          <w:szCs w:val="32"/>
        </w:rPr>
        <w:t>在报价系统</w:t>
      </w:r>
      <w:r w:rsidR="007772F1">
        <w:rPr>
          <w:rFonts w:ascii="仿宋_GB2312" w:eastAsia="仿宋_GB2312" w:hAnsi="仿宋" w:hint="eastAsia"/>
          <w:sz w:val="32"/>
          <w:szCs w:val="32"/>
        </w:rPr>
        <w:t>发出</w:t>
      </w:r>
      <w:r>
        <w:rPr>
          <w:rFonts w:ascii="仿宋_GB2312" w:eastAsia="仿宋_GB2312" w:hAnsi="仿宋" w:hint="eastAsia"/>
          <w:sz w:val="32"/>
          <w:szCs w:val="32"/>
        </w:rPr>
        <w:t>的</w:t>
      </w:r>
      <w:r w:rsidR="007772F1">
        <w:rPr>
          <w:rFonts w:ascii="仿宋_GB2312" w:eastAsia="仿宋_GB2312" w:hAnsi="仿宋" w:hint="eastAsia"/>
          <w:sz w:val="32"/>
          <w:szCs w:val="32"/>
        </w:rPr>
        <w:t>报价</w:t>
      </w:r>
      <w:r>
        <w:rPr>
          <w:rFonts w:ascii="仿宋_GB2312" w:eastAsia="仿宋_GB2312" w:hAnsi="仿宋" w:hint="eastAsia"/>
          <w:sz w:val="32"/>
          <w:szCs w:val="32"/>
        </w:rPr>
        <w:t>应当</w:t>
      </w:r>
      <w:r w:rsidRPr="00437FEB">
        <w:rPr>
          <w:rFonts w:ascii="仿宋_GB2312" w:eastAsia="仿宋_GB2312" w:hAnsi="仿宋" w:hint="eastAsia"/>
          <w:sz w:val="32"/>
          <w:szCs w:val="32"/>
        </w:rPr>
        <w:t>包括</w:t>
      </w:r>
      <w:r>
        <w:rPr>
          <w:rFonts w:ascii="仿宋_GB2312" w:eastAsia="仿宋_GB2312" w:hAnsi="仿宋" w:hint="eastAsia"/>
          <w:sz w:val="32"/>
          <w:szCs w:val="32"/>
        </w:rPr>
        <w:t>产品</w:t>
      </w:r>
      <w:r w:rsidRPr="00437FEB">
        <w:rPr>
          <w:rFonts w:ascii="仿宋_GB2312" w:eastAsia="仿宋_GB2312" w:hint="eastAsia"/>
          <w:sz w:val="32"/>
          <w:szCs w:val="32"/>
        </w:rPr>
        <w:t>代码、销售机构</w:t>
      </w:r>
      <w:r w:rsidRPr="00757C97">
        <w:rPr>
          <w:rFonts w:ascii="仿宋_GB2312" w:eastAsia="仿宋_GB2312" w:hint="eastAsia"/>
          <w:sz w:val="32"/>
          <w:szCs w:val="32"/>
        </w:rPr>
        <w:t>代码、中国结算</w:t>
      </w:r>
      <w:r>
        <w:rPr>
          <w:rFonts w:ascii="仿宋_GB2312" w:eastAsia="仿宋_GB2312" w:hint="eastAsia"/>
          <w:sz w:val="32"/>
          <w:szCs w:val="32"/>
        </w:rPr>
        <w:t>TA系统的基金</w:t>
      </w:r>
      <w:r w:rsidRPr="00437FEB">
        <w:rPr>
          <w:rFonts w:ascii="仿宋_GB2312" w:eastAsia="仿宋_GB2312" w:hint="eastAsia"/>
          <w:sz w:val="32"/>
          <w:szCs w:val="32"/>
        </w:rPr>
        <w:t>账户</w:t>
      </w:r>
      <w:r>
        <w:rPr>
          <w:rFonts w:ascii="仿宋_GB2312" w:eastAsia="仿宋_GB2312" w:hint="eastAsia"/>
          <w:sz w:val="32"/>
          <w:szCs w:val="32"/>
        </w:rPr>
        <w:t>代码和</w:t>
      </w:r>
      <w:r w:rsidRPr="00757C97">
        <w:rPr>
          <w:rFonts w:ascii="仿宋_GB2312" w:eastAsia="仿宋_GB2312" w:hint="eastAsia"/>
          <w:sz w:val="32"/>
          <w:szCs w:val="32"/>
        </w:rPr>
        <w:t>基金交易账</w:t>
      </w:r>
      <w:r>
        <w:rPr>
          <w:rFonts w:ascii="仿宋_GB2312" w:eastAsia="仿宋_GB2312" w:hint="eastAsia"/>
          <w:sz w:val="32"/>
          <w:szCs w:val="32"/>
        </w:rPr>
        <w:t>户代码</w:t>
      </w:r>
      <w:r w:rsidRPr="00437FEB">
        <w:rPr>
          <w:rFonts w:ascii="仿宋_GB2312" w:eastAsia="仿宋_GB2312" w:hint="eastAsia"/>
          <w:sz w:val="32"/>
          <w:szCs w:val="32"/>
        </w:rPr>
        <w:t>、</w:t>
      </w:r>
      <w:r w:rsidRPr="00757C97">
        <w:rPr>
          <w:rFonts w:ascii="仿宋_GB2312" w:eastAsia="仿宋_GB2312" w:hint="eastAsia"/>
          <w:sz w:val="32"/>
          <w:szCs w:val="32"/>
        </w:rPr>
        <w:t>产品账户</w:t>
      </w:r>
      <w:r>
        <w:rPr>
          <w:rFonts w:ascii="仿宋_GB2312" w:eastAsia="仿宋_GB2312" w:hint="eastAsia"/>
          <w:sz w:val="32"/>
          <w:szCs w:val="32"/>
        </w:rPr>
        <w:t>代码</w:t>
      </w:r>
      <w:r w:rsidRPr="00757C97">
        <w:rPr>
          <w:rFonts w:ascii="仿宋_GB2312" w:eastAsia="仿宋_GB2312" w:hint="eastAsia"/>
          <w:sz w:val="32"/>
          <w:szCs w:val="32"/>
        </w:rPr>
        <w:t>、转让</w:t>
      </w:r>
      <w:r>
        <w:rPr>
          <w:rFonts w:ascii="仿宋_GB2312" w:eastAsia="仿宋_GB2312" w:hint="eastAsia"/>
          <w:sz w:val="32"/>
          <w:szCs w:val="32"/>
        </w:rPr>
        <w:t>数量</w:t>
      </w:r>
      <w:r w:rsidRPr="00437FEB">
        <w:rPr>
          <w:rFonts w:ascii="仿宋_GB2312" w:eastAsia="仿宋_GB2312" w:hint="eastAsia"/>
          <w:sz w:val="32"/>
          <w:szCs w:val="32"/>
        </w:rPr>
        <w:t>、转让价格等</w:t>
      </w:r>
      <w:r w:rsidR="007772F1">
        <w:rPr>
          <w:rFonts w:ascii="仿宋_GB2312" w:eastAsia="仿宋_GB2312" w:hint="eastAsia"/>
          <w:sz w:val="32"/>
          <w:szCs w:val="32"/>
        </w:rPr>
        <w:t>信息</w:t>
      </w:r>
      <w:r w:rsidRPr="00437FEB">
        <w:rPr>
          <w:rFonts w:ascii="仿宋_GB2312" w:eastAsia="仿宋_GB2312" w:hint="eastAsia"/>
          <w:sz w:val="32"/>
          <w:szCs w:val="32"/>
        </w:rPr>
        <w:t>。</w:t>
      </w:r>
    </w:p>
    <w:p w:rsidR="00A57BA2" w:rsidRDefault="00A57BA2" w:rsidP="00A57BA2">
      <w:pPr>
        <w:pStyle w:val="ad"/>
        <w:ind w:firstLine="640"/>
        <w:rPr>
          <w:rFonts w:ascii="仿宋_GB2312" w:eastAsia="仿宋_GB2312" w:hAnsi="仿宋"/>
          <w:sz w:val="32"/>
          <w:szCs w:val="32"/>
        </w:rPr>
      </w:pPr>
      <w:r>
        <w:rPr>
          <w:rFonts w:ascii="仿宋_GB2312" w:eastAsia="仿宋_GB2312" w:hint="eastAsia"/>
          <w:sz w:val="32"/>
          <w:szCs w:val="32"/>
        </w:rPr>
        <w:t>销售机构</w:t>
      </w:r>
      <w:r w:rsidRPr="00B33B77">
        <w:rPr>
          <w:rFonts w:ascii="仿宋_GB2312" w:eastAsia="仿宋_GB2312" w:hint="eastAsia"/>
          <w:sz w:val="32"/>
          <w:szCs w:val="32"/>
        </w:rPr>
        <w:t>应当确保</w:t>
      </w:r>
      <w:r>
        <w:rPr>
          <w:rFonts w:ascii="仿宋_GB2312" w:eastAsia="仿宋_GB2312" w:hint="eastAsia"/>
          <w:sz w:val="32"/>
          <w:szCs w:val="32"/>
        </w:rPr>
        <w:t>参与</w:t>
      </w:r>
      <w:r w:rsidRPr="00B33B77">
        <w:rPr>
          <w:rFonts w:ascii="仿宋_GB2312" w:eastAsia="仿宋_GB2312" w:hint="eastAsia"/>
          <w:sz w:val="32"/>
          <w:szCs w:val="32"/>
        </w:rPr>
        <w:t>转让</w:t>
      </w:r>
      <w:r>
        <w:rPr>
          <w:rFonts w:ascii="仿宋_GB2312" w:eastAsia="仿宋_GB2312" w:hint="eastAsia"/>
          <w:sz w:val="32"/>
          <w:szCs w:val="32"/>
        </w:rPr>
        <w:t>的投资者</w:t>
      </w:r>
      <w:r w:rsidRPr="00B33B77">
        <w:rPr>
          <w:rFonts w:ascii="仿宋_GB2312" w:eastAsia="仿宋_GB2312" w:hint="eastAsia"/>
          <w:sz w:val="32"/>
          <w:szCs w:val="32"/>
        </w:rPr>
        <w:t>持有足额</w:t>
      </w:r>
      <w:r>
        <w:rPr>
          <w:rFonts w:ascii="仿宋_GB2312" w:eastAsia="仿宋_GB2312" w:hint="eastAsia"/>
          <w:sz w:val="32"/>
          <w:szCs w:val="32"/>
        </w:rPr>
        <w:t>的</w:t>
      </w:r>
      <w:r w:rsidRPr="00B33B77">
        <w:rPr>
          <w:rFonts w:ascii="仿宋_GB2312" w:eastAsia="仿宋_GB2312" w:hint="eastAsia"/>
          <w:sz w:val="32"/>
          <w:szCs w:val="32"/>
        </w:rPr>
        <w:t>份额或资金。</w:t>
      </w:r>
    </w:p>
    <w:p w:rsidR="00A57BA2" w:rsidRPr="00C048A0" w:rsidRDefault="00A57BA2" w:rsidP="00A57BA2">
      <w:pPr>
        <w:pStyle w:val="ad"/>
        <w:numPr>
          <w:ilvl w:val="0"/>
          <w:numId w:val="2"/>
        </w:numPr>
        <w:ind w:left="0" w:firstLine="640"/>
        <w:rPr>
          <w:rFonts w:ascii="仿宋_GB2312" w:eastAsia="仿宋_GB2312" w:hAnsi="仿宋"/>
          <w:sz w:val="32"/>
          <w:szCs w:val="32"/>
        </w:rPr>
      </w:pPr>
      <w:r>
        <w:rPr>
          <w:rFonts w:ascii="仿宋_GB2312" w:eastAsia="仿宋_GB2312" w:hAnsi="仿宋" w:hint="eastAsia"/>
          <w:sz w:val="32"/>
          <w:szCs w:val="32"/>
        </w:rPr>
        <w:t>【登记过户】中国</w:t>
      </w:r>
      <w:r w:rsidRPr="00C048A0">
        <w:rPr>
          <w:rFonts w:ascii="仿宋_GB2312" w:eastAsia="仿宋_GB2312" w:hAnsi="仿宋" w:hint="eastAsia"/>
          <w:sz w:val="32"/>
          <w:szCs w:val="32"/>
        </w:rPr>
        <w:t>结算按照报价系统的交易成交结果办理产品相关份额的过户登记，并将份额过户登记结果发送相关销售机构、管理人和报价系统。</w:t>
      </w:r>
    </w:p>
    <w:p w:rsidR="00A57BA2" w:rsidRPr="00C048A0" w:rsidRDefault="00A57BA2" w:rsidP="00A57BA2">
      <w:pPr>
        <w:ind w:firstLineChars="200" w:firstLine="640"/>
        <w:rPr>
          <w:rFonts w:ascii="仿宋_GB2312" w:eastAsia="仿宋_GB2312" w:hAnsi="仿宋"/>
          <w:sz w:val="32"/>
          <w:szCs w:val="32"/>
        </w:rPr>
      </w:pPr>
      <w:r w:rsidRPr="00C048A0">
        <w:rPr>
          <w:rFonts w:ascii="仿宋_GB2312" w:eastAsia="仿宋_GB2312" w:hAnsi="仿宋" w:hint="eastAsia"/>
          <w:sz w:val="32"/>
          <w:szCs w:val="32"/>
        </w:rPr>
        <w:t>报价系统根据中国结算</w:t>
      </w:r>
      <w:r w:rsidR="00FC39DA">
        <w:rPr>
          <w:rFonts w:ascii="仿宋_GB2312" w:eastAsia="仿宋_GB2312" w:hAnsi="仿宋" w:hint="eastAsia"/>
          <w:sz w:val="32"/>
          <w:szCs w:val="32"/>
        </w:rPr>
        <w:t>份额</w:t>
      </w:r>
      <w:r>
        <w:rPr>
          <w:rFonts w:ascii="仿宋_GB2312" w:eastAsia="仿宋_GB2312" w:hAnsi="仿宋" w:hint="eastAsia"/>
          <w:sz w:val="32"/>
          <w:szCs w:val="32"/>
        </w:rPr>
        <w:t>过户</w:t>
      </w:r>
      <w:r w:rsidR="00FC39DA">
        <w:rPr>
          <w:rFonts w:ascii="仿宋_GB2312" w:eastAsia="仿宋_GB2312" w:hAnsi="仿宋" w:hint="eastAsia"/>
          <w:sz w:val="32"/>
          <w:szCs w:val="32"/>
        </w:rPr>
        <w:t>登记结果</w:t>
      </w:r>
      <w:r w:rsidRPr="00C048A0">
        <w:rPr>
          <w:rFonts w:ascii="仿宋_GB2312" w:eastAsia="仿宋_GB2312" w:hAnsi="仿宋" w:hint="eastAsia"/>
          <w:sz w:val="32"/>
          <w:szCs w:val="32"/>
        </w:rPr>
        <w:t>将转让结果通知相关参与人。</w:t>
      </w:r>
      <w:bookmarkStart w:id="1" w:name="_GoBack"/>
      <w:bookmarkEnd w:id="1"/>
    </w:p>
    <w:p w:rsidR="00A57BA2" w:rsidRDefault="00A57BA2" w:rsidP="00A57BA2">
      <w:pPr>
        <w:pStyle w:val="ad"/>
        <w:numPr>
          <w:ilvl w:val="0"/>
          <w:numId w:val="2"/>
        </w:numPr>
        <w:ind w:left="0" w:firstLineChars="0" w:firstLine="567"/>
        <w:rPr>
          <w:rFonts w:ascii="仿宋_GB2312" w:eastAsia="仿宋_GB2312" w:hAnsi="仿宋"/>
          <w:sz w:val="32"/>
          <w:szCs w:val="32"/>
        </w:rPr>
      </w:pPr>
      <w:r>
        <w:rPr>
          <w:rFonts w:ascii="仿宋_GB2312" w:eastAsia="仿宋_GB2312" w:hAnsi="仿宋" w:hint="eastAsia"/>
          <w:sz w:val="32"/>
          <w:szCs w:val="32"/>
        </w:rPr>
        <w:t>【转让暂停】出现下列情形的，管理人应当及时通知中国结算和市场监测中心，中国结算和市场监测中心可以根据情况，暂停产品在报价系统的同柜转让业务</w:t>
      </w:r>
      <w:r w:rsidR="00FC39DA">
        <w:rPr>
          <w:rFonts w:ascii="仿宋_GB2312" w:eastAsia="仿宋_GB2312" w:hAnsi="仿宋" w:hint="eastAsia"/>
          <w:sz w:val="32"/>
          <w:szCs w:val="32"/>
        </w:rPr>
        <w:t>；</w:t>
      </w:r>
      <w:r>
        <w:rPr>
          <w:rFonts w:ascii="仿宋_GB2312" w:eastAsia="仿宋_GB2312" w:hAnsi="仿宋" w:hint="eastAsia"/>
          <w:sz w:val="32"/>
          <w:szCs w:val="32"/>
        </w:rPr>
        <w:t>相关情形影响消除后，中国结算和市场监测中心可以视情况恢复同柜转让业务：</w:t>
      </w:r>
    </w:p>
    <w:p w:rsidR="00A57BA2" w:rsidRDefault="00A57BA2" w:rsidP="00A57BA2">
      <w:pPr>
        <w:pStyle w:val="ad"/>
        <w:ind w:firstLine="640"/>
        <w:rPr>
          <w:rFonts w:ascii="仿宋_GB2312" w:eastAsia="仿宋_GB2312" w:hAnsi="仿宋"/>
          <w:sz w:val="32"/>
          <w:szCs w:val="32"/>
        </w:rPr>
      </w:pPr>
      <w:r>
        <w:rPr>
          <w:rFonts w:ascii="仿宋_GB2312" w:eastAsia="仿宋_GB2312" w:hAnsi="仿宋" w:hint="eastAsia"/>
          <w:sz w:val="32"/>
          <w:szCs w:val="32"/>
        </w:rPr>
        <w:t>（一）产品出现重大异常状况的；</w:t>
      </w:r>
    </w:p>
    <w:p w:rsidR="00A57BA2" w:rsidRDefault="00A57BA2" w:rsidP="00A57BA2">
      <w:pPr>
        <w:pStyle w:val="ad"/>
        <w:ind w:firstLine="640"/>
        <w:rPr>
          <w:rFonts w:ascii="仿宋_GB2312" w:eastAsia="仿宋_GB2312" w:hAnsi="仿宋"/>
          <w:sz w:val="32"/>
          <w:szCs w:val="32"/>
        </w:rPr>
      </w:pPr>
      <w:r>
        <w:rPr>
          <w:rFonts w:ascii="仿宋_GB2312" w:eastAsia="仿宋_GB2312" w:hAnsi="仿宋" w:hint="eastAsia"/>
          <w:sz w:val="32"/>
          <w:szCs w:val="32"/>
        </w:rPr>
        <w:lastRenderedPageBreak/>
        <w:t>（二）违反法律法规、中国证监会、证券业协会、中国结算或市场监测中心相关规定的；</w:t>
      </w:r>
    </w:p>
    <w:p w:rsidR="00A57BA2" w:rsidRPr="00C1180F" w:rsidRDefault="00A57BA2" w:rsidP="00A57BA2">
      <w:pPr>
        <w:pStyle w:val="ad"/>
        <w:ind w:firstLine="640"/>
        <w:rPr>
          <w:rFonts w:ascii="仿宋_GB2312" w:eastAsia="仿宋_GB2312" w:hAnsi="仿宋"/>
          <w:sz w:val="32"/>
          <w:szCs w:val="32"/>
        </w:rPr>
      </w:pPr>
      <w:r>
        <w:rPr>
          <w:rFonts w:ascii="仿宋_GB2312" w:eastAsia="仿宋_GB2312" w:hAnsi="仿宋" w:hint="eastAsia"/>
          <w:sz w:val="32"/>
          <w:szCs w:val="32"/>
        </w:rPr>
        <w:t>（三）中国结算和市场监测中心规定的其他情形。</w:t>
      </w:r>
    </w:p>
    <w:p w:rsidR="00A57BA2" w:rsidRPr="009C2772" w:rsidRDefault="00A57BA2" w:rsidP="00A57BA2">
      <w:pPr>
        <w:pStyle w:val="ad"/>
        <w:numPr>
          <w:ilvl w:val="0"/>
          <w:numId w:val="2"/>
        </w:numPr>
        <w:ind w:left="0" w:firstLineChars="177" w:firstLine="566"/>
        <w:rPr>
          <w:rFonts w:ascii="仿宋_GB2312" w:eastAsia="仿宋_GB2312" w:hAnsi="仿宋"/>
          <w:sz w:val="32"/>
          <w:szCs w:val="32"/>
        </w:rPr>
      </w:pPr>
      <w:r>
        <w:rPr>
          <w:rFonts w:ascii="仿宋_GB2312" w:eastAsia="仿宋_GB2312" w:hint="eastAsia"/>
          <w:sz w:val="32"/>
          <w:szCs w:val="32"/>
        </w:rPr>
        <w:t>【转让终止】出现下列情形的，</w:t>
      </w:r>
      <w:r>
        <w:rPr>
          <w:rFonts w:ascii="仿宋_GB2312" w:eastAsia="仿宋_GB2312" w:hAnsi="仿宋" w:hint="eastAsia"/>
          <w:sz w:val="32"/>
          <w:szCs w:val="32"/>
        </w:rPr>
        <w:t>管理人应当及时通知中国结算和市场监测中心，中国结算和市场监测中心</w:t>
      </w:r>
      <w:r>
        <w:rPr>
          <w:rFonts w:ascii="仿宋_GB2312" w:eastAsia="仿宋_GB2312" w:hint="eastAsia"/>
          <w:sz w:val="32"/>
          <w:szCs w:val="32"/>
        </w:rPr>
        <w:t>可以根据情况，终止在报价系统的同柜转让业务：</w:t>
      </w:r>
    </w:p>
    <w:p w:rsidR="00A57BA2" w:rsidRDefault="00A57BA2" w:rsidP="00A57BA2">
      <w:pPr>
        <w:pStyle w:val="ad"/>
        <w:ind w:firstLine="640"/>
        <w:rPr>
          <w:rFonts w:ascii="仿宋_GB2312" w:eastAsia="仿宋_GB2312" w:hAnsi="仿宋"/>
          <w:sz w:val="32"/>
          <w:szCs w:val="32"/>
        </w:rPr>
      </w:pPr>
      <w:r w:rsidRPr="009C2772">
        <w:rPr>
          <w:rFonts w:ascii="仿宋_GB2312" w:eastAsia="仿宋_GB2312" w:hint="eastAsia"/>
          <w:sz w:val="32"/>
          <w:szCs w:val="32"/>
        </w:rPr>
        <w:t>（</w:t>
      </w:r>
      <w:r>
        <w:rPr>
          <w:rFonts w:ascii="仿宋_GB2312" w:eastAsia="仿宋_GB2312" w:hint="eastAsia"/>
          <w:sz w:val="32"/>
          <w:szCs w:val="32"/>
        </w:rPr>
        <w:t>一</w:t>
      </w:r>
      <w:r w:rsidRPr="009C2772">
        <w:rPr>
          <w:rFonts w:ascii="仿宋_GB2312" w:eastAsia="仿宋_GB2312" w:hint="eastAsia"/>
          <w:sz w:val="32"/>
          <w:szCs w:val="32"/>
        </w:rPr>
        <w:t>）管理人向中国结算或市场</w:t>
      </w:r>
      <w:r w:rsidRPr="009C2772">
        <w:rPr>
          <w:rFonts w:ascii="仿宋_GB2312" w:eastAsia="仿宋_GB2312" w:hAnsi="仿宋" w:hint="eastAsia"/>
          <w:sz w:val="32"/>
          <w:szCs w:val="32"/>
        </w:rPr>
        <w:t>监测中心申请终止同柜转让业务的；</w:t>
      </w:r>
    </w:p>
    <w:p w:rsidR="00A57BA2" w:rsidRPr="00C83B9C" w:rsidRDefault="00A57BA2" w:rsidP="00A57BA2">
      <w:pPr>
        <w:ind w:firstLineChars="180" w:firstLine="576"/>
        <w:rPr>
          <w:rFonts w:ascii="仿宋_GB2312" w:eastAsia="仿宋_GB2312"/>
          <w:sz w:val="32"/>
          <w:szCs w:val="32"/>
        </w:rPr>
      </w:pPr>
      <w:r w:rsidRPr="00C83B9C">
        <w:rPr>
          <w:rFonts w:ascii="仿宋_GB2312" w:eastAsia="仿宋_GB2312" w:hAnsi="仿宋" w:hint="eastAsia"/>
          <w:sz w:val="32"/>
          <w:szCs w:val="32"/>
        </w:rPr>
        <w:t>（二）产品存续期满且未展期的；</w:t>
      </w:r>
    </w:p>
    <w:p w:rsidR="00A57BA2" w:rsidRPr="009C2772" w:rsidRDefault="00A57BA2" w:rsidP="00A57BA2">
      <w:pPr>
        <w:pStyle w:val="ad"/>
        <w:ind w:firstLineChars="177" w:firstLine="566"/>
        <w:rPr>
          <w:rFonts w:ascii="仿宋_GB2312" w:eastAsia="仿宋_GB2312"/>
          <w:sz w:val="32"/>
          <w:szCs w:val="32"/>
        </w:rPr>
      </w:pPr>
      <w:r w:rsidRPr="009C2772">
        <w:rPr>
          <w:rFonts w:ascii="仿宋_GB2312" w:eastAsia="仿宋_GB2312" w:hint="eastAsia"/>
          <w:sz w:val="32"/>
          <w:szCs w:val="32"/>
        </w:rPr>
        <w:t>（</w:t>
      </w:r>
      <w:r>
        <w:rPr>
          <w:rFonts w:ascii="仿宋_GB2312" w:eastAsia="仿宋_GB2312" w:hint="eastAsia"/>
          <w:sz w:val="32"/>
          <w:szCs w:val="32"/>
        </w:rPr>
        <w:t>三</w:t>
      </w:r>
      <w:r w:rsidRPr="009C2772">
        <w:rPr>
          <w:rFonts w:ascii="仿宋_GB2312" w:eastAsia="仿宋_GB2312" w:hint="eastAsia"/>
          <w:sz w:val="32"/>
          <w:szCs w:val="32"/>
        </w:rPr>
        <w:t>）依据法律法规、中国证监会相关规定或者合同约定，产品提前终止的；</w:t>
      </w:r>
    </w:p>
    <w:p w:rsidR="00A57BA2" w:rsidRDefault="00A57BA2" w:rsidP="00A57BA2">
      <w:pPr>
        <w:pStyle w:val="ad"/>
        <w:ind w:firstLineChars="177" w:firstLine="566"/>
        <w:rPr>
          <w:rFonts w:ascii="仿宋_GB2312" w:eastAsia="仿宋_GB2312"/>
          <w:sz w:val="32"/>
          <w:szCs w:val="32"/>
        </w:rPr>
      </w:pPr>
      <w:r w:rsidRPr="009C2772">
        <w:rPr>
          <w:rFonts w:ascii="仿宋_GB2312" w:eastAsia="仿宋_GB2312" w:hint="eastAsia"/>
          <w:sz w:val="32"/>
          <w:szCs w:val="32"/>
        </w:rPr>
        <w:t>（</w:t>
      </w:r>
      <w:r>
        <w:rPr>
          <w:rFonts w:ascii="仿宋_GB2312" w:eastAsia="仿宋_GB2312" w:hint="eastAsia"/>
          <w:sz w:val="32"/>
          <w:szCs w:val="32"/>
        </w:rPr>
        <w:t>四</w:t>
      </w:r>
      <w:r w:rsidRPr="009C2772">
        <w:rPr>
          <w:rFonts w:ascii="仿宋_GB2312" w:eastAsia="仿宋_GB2312" w:hint="eastAsia"/>
          <w:sz w:val="32"/>
          <w:szCs w:val="32"/>
        </w:rPr>
        <w:t>）严重违反法律法规、</w:t>
      </w:r>
      <w:r w:rsidRPr="009C2772">
        <w:rPr>
          <w:rFonts w:ascii="仿宋_GB2312" w:eastAsia="仿宋_GB2312" w:hAnsi="仿宋" w:hint="eastAsia"/>
          <w:sz w:val="32"/>
          <w:szCs w:val="32"/>
        </w:rPr>
        <w:t>中国证监会</w:t>
      </w:r>
      <w:r>
        <w:rPr>
          <w:rFonts w:ascii="仿宋_GB2312" w:eastAsia="仿宋_GB2312" w:hAnsi="仿宋" w:hint="eastAsia"/>
          <w:sz w:val="32"/>
          <w:szCs w:val="32"/>
        </w:rPr>
        <w:t>、证券业协会、中国结算或市场监测中心</w:t>
      </w:r>
      <w:r>
        <w:rPr>
          <w:rFonts w:ascii="仿宋_GB2312" w:eastAsia="仿宋_GB2312" w:hint="eastAsia"/>
          <w:sz w:val="32"/>
          <w:szCs w:val="32"/>
        </w:rPr>
        <w:t>相关规定的；</w:t>
      </w:r>
    </w:p>
    <w:p w:rsidR="00A57BA2" w:rsidRPr="00323DEE" w:rsidRDefault="00A57BA2" w:rsidP="00A57BA2">
      <w:pPr>
        <w:pStyle w:val="ad"/>
        <w:ind w:firstLineChars="177" w:firstLine="566"/>
        <w:rPr>
          <w:rFonts w:ascii="仿宋_GB2312" w:eastAsia="仿宋_GB2312" w:hAnsi="仿宋"/>
          <w:sz w:val="32"/>
          <w:szCs w:val="32"/>
        </w:rPr>
      </w:pPr>
      <w:r>
        <w:rPr>
          <w:rFonts w:ascii="仿宋_GB2312" w:eastAsia="仿宋_GB2312" w:hint="eastAsia"/>
          <w:sz w:val="32"/>
          <w:szCs w:val="32"/>
        </w:rPr>
        <w:t>（五）中国结算和市场监测中心规定的其他情形。</w:t>
      </w:r>
    </w:p>
    <w:p w:rsidR="00641C7F" w:rsidRDefault="00A57BA2" w:rsidP="00C46F10">
      <w:pPr>
        <w:pStyle w:val="ad"/>
        <w:numPr>
          <w:ilvl w:val="0"/>
          <w:numId w:val="1"/>
        </w:numPr>
        <w:spacing w:beforeLines="100" w:afterLines="100"/>
        <w:ind w:left="0" w:firstLineChars="0" w:firstLine="0"/>
        <w:jc w:val="center"/>
        <w:rPr>
          <w:rFonts w:ascii="黑体" w:eastAsia="黑体" w:hAnsi="黑体"/>
          <w:b/>
          <w:sz w:val="32"/>
          <w:szCs w:val="32"/>
        </w:rPr>
      </w:pPr>
      <w:r w:rsidRPr="00B33B77">
        <w:rPr>
          <w:rFonts w:ascii="黑体" w:eastAsia="黑体" w:hAnsi="黑体" w:hint="eastAsia"/>
          <w:b/>
          <w:sz w:val="32"/>
          <w:szCs w:val="32"/>
        </w:rPr>
        <w:t>业务管理</w:t>
      </w:r>
    </w:p>
    <w:p w:rsidR="00A57BA2" w:rsidRPr="003A1E04" w:rsidRDefault="00A57BA2" w:rsidP="00A57BA2">
      <w:pPr>
        <w:pStyle w:val="ad"/>
        <w:numPr>
          <w:ilvl w:val="0"/>
          <w:numId w:val="2"/>
        </w:numPr>
        <w:ind w:left="0" w:firstLineChars="0" w:firstLine="709"/>
        <w:rPr>
          <w:rFonts w:ascii="仿宋_GB2312" w:eastAsia="仿宋_GB2312" w:hAnsi="仿宋"/>
          <w:sz w:val="32"/>
          <w:szCs w:val="32"/>
        </w:rPr>
      </w:pPr>
      <w:r>
        <w:rPr>
          <w:rFonts w:ascii="仿宋_GB2312" w:eastAsia="仿宋_GB2312" w:hint="eastAsia"/>
          <w:sz w:val="32"/>
          <w:szCs w:val="32"/>
        </w:rPr>
        <w:t>【诚信填报】管理人向中国结算和市场监测中心提交的申请文件应当</w:t>
      </w:r>
      <w:r w:rsidRPr="00B33B77">
        <w:rPr>
          <w:rFonts w:ascii="仿宋_GB2312" w:eastAsia="仿宋_GB2312" w:hint="eastAsia"/>
          <w:sz w:val="32"/>
          <w:szCs w:val="32"/>
        </w:rPr>
        <w:t>真实、</w:t>
      </w:r>
      <w:r>
        <w:rPr>
          <w:rFonts w:ascii="仿宋_GB2312" w:eastAsia="仿宋_GB2312" w:hint="eastAsia"/>
          <w:sz w:val="32"/>
          <w:szCs w:val="32"/>
        </w:rPr>
        <w:t>准确</w:t>
      </w:r>
      <w:r w:rsidRPr="00B33B77">
        <w:rPr>
          <w:rFonts w:ascii="仿宋_GB2312" w:eastAsia="仿宋_GB2312" w:hint="eastAsia"/>
          <w:sz w:val="32"/>
          <w:szCs w:val="32"/>
        </w:rPr>
        <w:t>、</w:t>
      </w:r>
      <w:r>
        <w:rPr>
          <w:rFonts w:ascii="仿宋_GB2312" w:eastAsia="仿宋_GB2312" w:hint="eastAsia"/>
          <w:sz w:val="32"/>
          <w:szCs w:val="32"/>
        </w:rPr>
        <w:t>完整，不得有虚假记载、误导性陈述或重大遗漏</w:t>
      </w:r>
      <w:r w:rsidRPr="00B33B77">
        <w:rPr>
          <w:rFonts w:ascii="仿宋_GB2312" w:eastAsia="仿宋_GB2312" w:hint="eastAsia"/>
          <w:sz w:val="32"/>
          <w:szCs w:val="32"/>
        </w:rPr>
        <w:t>。</w:t>
      </w:r>
    </w:p>
    <w:p w:rsidR="00A57BA2" w:rsidRPr="00C1180F" w:rsidRDefault="00A57BA2" w:rsidP="00A57BA2">
      <w:pPr>
        <w:pStyle w:val="ad"/>
        <w:numPr>
          <w:ilvl w:val="0"/>
          <w:numId w:val="2"/>
        </w:numPr>
        <w:ind w:left="0" w:firstLineChars="0" w:firstLine="709"/>
        <w:rPr>
          <w:rFonts w:ascii="仿宋_GB2312" w:eastAsia="仿宋_GB2312" w:hAnsi="仿宋"/>
          <w:sz w:val="32"/>
          <w:szCs w:val="32"/>
        </w:rPr>
      </w:pPr>
      <w:r>
        <w:rPr>
          <w:rFonts w:ascii="仿宋_GB2312" w:eastAsia="仿宋_GB2312" w:hint="eastAsia"/>
          <w:sz w:val="32"/>
          <w:szCs w:val="32"/>
        </w:rPr>
        <w:t>【责任承担】</w:t>
      </w:r>
      <w:r w:rsidRPr="00B33B77">
        <w:rPr>
          <w:rFonts w:ascii="仿宋_GB2312" w:eastAsia="仿宋_GB2312" w:hint="eastAsia"/>
          <w:sz w:val="32"/>
          <w:szCs w:val="32"/>
        </w:rPr>
        <w:t>因</w:t>
      </w:r>
      <w:r w:rsidRPr="00223AA4">
        <w:rPr>
          <w:rFonts w:ascii="仿宋_GB2312" w:eastAsia="仿宋_GB2312" w:hint="eastAsia"/>
          <w:sz w:val="32"/>
          <w:szCs w:val="32"/>
        </w:rPr>
        <w:t>投资者或相关机构原因</w:t>
      </w:r>
      <w:r w:rsidRPr="00B33B77">
        <w:rPr>
          <w:rFonts w:ascii="仿宋_GB2312" w:eastAsia="仿宋_GB2312" w:hint="eastAsia"/>
          <w:sz w:val="32"/>
          <w:szCs w:val="32"/>
        </w:rPr>
        <w:t>导致的份额过户失败、过户错误、资金交收失败、交收错误，由相关方自</w:t>
      </w:r>
      <w:r w:rsidRPr="00B33B77">
        <w:rPr>
          <w:rFonts w:ascii="仿宋_GB2312" w:eastAsia="仿宋_GB2312" w:hint="eastAsia"/>
          <w:sz w:val="32"/>
          <w:szCs w:val="32"/>
        </w:rPr>
        <w:lastRenderedPageBreak/>
        <w:t>行协商解决。</w:t>
      </w:r>
    </w:p>
    <w:p w:rsidR="00A57BA2" w:rsidRPr="00C1180F" w:rsidRDefault="00A57BA2" w:rsidP="00A57BA2">
      <w:pPr>
        <w:pStyle w:val="ad"/>
        <w:numPr>
          <w:ilvl w:val="0"/>
          <w:numId w:val="2"/>
        </w:numPr>
        <w:ind w:left="0" w:firstLineChars="0" w:firstLine="709"/>
        <w:rPr>
          <w:rFonts w:ascii="仿宋_GB2312" w:eastAsia="仿宋_GB2312" w:hAnsi="仿宋"/>
          <w:sz w:val="32"/>
          <w:szCs w:val="32"/>
        </w:rPr>
      </w:pPr>
      <w:r>
        <w:rPr>
          <w:rFonts w:ascii="仿宋_GB2312" w:eastAsia="仿宋_GB2312" w:hAnsi="仿宋" w:hint="eastAsia"/>
          <w:sz w:val="32"/>
          <w:szCs w:val="32"/>
        </w:rPr>
        <w:t>【产品合同与风险揭示书】管理人应当确保投资者通过转让首次参与转让产品前，已按照相关法律法规的要求签署产品合同和风险揭示书。</w:t>
      </w:r>
    </w:p>
    <w:p w:rsidR="00A57BA2" w:rsidRDefault="00A57BA2" w:rsidP="00A57BA2">
      <w:pPr>
        <w:pStyle w:val="ad"/>
        <w:numPr>
          <w:ilvl w:val="0"/>
          <w:numId w:val="2"/>
        </w:numPr>
        <w:ind w:left="0" w:firstLineChars="0" w:firstLine="709"/>
        <w:rPr>
          <w:rFonts w:ascii="仿宋_GB2312" w:eastAsia="仿宋_GB2312" w:hAnsi="仿宋"/>
          <w:sz w:val="32"/>
          <w:szCs w:val="32"/>
        </w:rPr>
      </w:pPr>
      <w:r>
        <w:rPr>
          <w:rFonts w:ascii="仿宋_GB2312" w:eastAsia="仿宋_GB2312" w:hAnsi="仿宋" w:hint="eastAsia"/>
          <w:sz w:val="32"/>
          <w:szCs w:val="32"/>
        </w:rPr>
        <w:t>【投资者适当性】销售机构应当建立投资者适当性管理制度，确保参与份额转让的投资者、单个投资者的参与金额、单只转让产品的持有人数符合相关规定。</w:t>
      </w:r>
    </w:p>
    <w:p w:rsidR="00A57BA2" w:rsidRPr="00B33B77" w:rsidRDefault="00A57BA2" w:rsidP="00A57BA2">
      <w:pPr>
        <w:pStyle w:val="ad"/>
        <w:numPr>
          <w:ilvl w:val="0"/>
          <w:numId w:val="2"/>
        </w:numPr>
        <w:ind w:left="0" w:firstLineChars="0" w:firstLine="709"/>
        <w:rPr>
          <w:rFonts w:ascii="仿宋_GB2312" w:eastAsia="仿宋_GB2312" w:hAnsi="仿宋"/>
          <w:sz w:val="32"/>
          <w:szCs w:val="32"/>
        </w:rPr>
      </w:pPr>
      <w:r>
        <w:rPr>
          <w:rFonts w:ascii="仿宋_GB2312" w:eastAsia="仿宋_GB2312" w:hAnsi="仿宋" w:hint="eastAsia"/>
          <w:sz w:val="32"/>
          <w:szCs w:val="32"/>
        </w:rPr>
        <w:t>【信息披露】管理人及销售机构应当履行信息披露职责，及时向投资者披露转让产品信息、中国结算与报价系统暂停、恢复、终止转让业务等相关信息。</w:t>
      </w:r>
    </w:p>
    <w:p w:rsidR="00A57BA2" w:rsidRPr="00B33B77" w:rsidRDefault="00A57BA2" w:rsidP="00A57BA2">
      <w:pPr>
        <w:pStyle w:val="ad"/>
        <w:numPr>
          <w:ilvl w:val="0"/>
          <w:numId w:val="1"/>
        </w:numPr>
        <w:spacing w:line="580" w:lineRule="exact"/>
        <w:ind w:left="0" w:firstLineChars="0" w:firstLine="0"/>
        <w:jc w:val="center"/>
        <w:rPr>
          <w:rFonts w:ascii="黑体" w:eastAsia="黑体" w:hAnsi="黑体"/>
          <w:b/>
          <w:sz w:val="32"/>
          <w:szCs w:val="32"/>
        </w:rPr>
      </w:pPr>
      <w:r w:rsidRPr="00B33B77">
        <w:rPr>
          <w:rFonts w:ascii="黑体" w:eastAsia="黑体" w:hAnsi="黑体" w:hint="eastAsia"/>
          <w:b/>
          <w:sz w:val="32"/>
          <w:szCs w:val="32"/>
        </w:rPr>
        <w:t>附则</w:t>
      </w:r>
    </w:p>
    <w:p w:rsidR="00A57BA2" w:rsidRDefault="00A57BA2" w:rsidP="00A57BA2">
      <w:pPr>
        <w:pStyle w:val="ad"/>
        <w:numPr>
          <w:ilvl w:val="0"/>
          <w:numId w:val="2"/>
        </w:numPr>
        <w:spacing w:line="580" w:lineRule="exact"/>
        <w:ind w:left="0" w:firstLineChars="0" w:firstLine="709"/>
        <w:rPr>
          <w:rFonts w:ascii="仿宋_GB2312" w:eastAsia="仿宋_GB2312" w:hAnsi="仿宋"/>
          <w:sz w:val="32"/>
          <w:szCs w:val="32"/>
        </w:rPr>
      </w:pPr>
      <w:r>
        <w:rPr>
          <w:rFonts w:ascii="仿宋_GB2312" w:eastAsia="仿宋_GB2312" w:hAnsi="仿宋" w:hint="eastAsia"/>
          <w:sz w:val="32"/>
          <w:szCs w:val="32"/>
        </w:rPr>
        <w:t>【其他要求】本指引未规定的其他事项，按照</w:t>
      </w:r>
      <w:r w:rsidR="00FC39DA">
        <w:rPr>
          <w:rFonts w:ascii="仿宋_GB2312" w:eastAsia="仿宋_GB2312" w:hAnsi="仿宋" w:hint="eastAsia"/>
          <w:sz w:val="32"/>
          <w:szCs w:val="32"/>
        </w:rPr>
        <w:t>中国</w:t>
      </w:r>
      <w:r>
        <w:rPr>
          <w:rFonts w:ascii="仿宋_GB2312" w:eastAsia="仿宋_GB2312" w:hAnsi="仿宋" w:hint="eastAsia"/>
          <w:sz w:val="32"/>
          <w:szCs w:val="32"/>
        </w:rPr>
        <w:t>证券业协会、中国结算和市场监测中心的相关规定执行。</w:t>
      </w:r>
    </w:p>
    <w:p w:rsidR="00264DF2" w:rsidRPr="007710BF" w:rsidRDefault="00A57BA2" w:rsidP="007710BF">
      <w:pPr>
        <w:pStyle w:val="ad"/>
        <w:numPr>
          <w:ilvl w:val="0"/>
          <w:numId w:val="2"/>
        </w:numPr>
        <w:spacing w:line="580" w:lineRule="exact"/>
        <w:ind w:left="0" w:firstLineChars="0" w:firstLine="709"/>
        <w:rPr>
          <w:rFonts w:ascii="仿宋_GB2312" w:eastAsia="仿宋_GB2312" w:hAnsi="仿宋"/>
          <w:sz w:val="32"/>
          <w:szCs w:val="32"/>
        </w:rPr>
      </w:pPr>
      <w:r>
        <w:rPr>
          <w:rFonts w:ascii="仿宋_GB2312" w:eastAsia="仿宋_GB2312" w:hAnsi="仿宋" w:hint="eastAsia"/>
          <w:sz w:val="32"/>
          <w:szCs w:val="32"/>
        </w:rPr>
        <w:t>【解释修订】</w:t>
      </w:r>
      <w:r w:rsidRPr="00B33B77">
        <w:rPr>
          <w:rFonts w:ascii="仿宋_GB2312" w:eastAsia="仿宋_GB2312" w:hAnsi="仿宋" w:hint="eastAsia"/>
          <w:sz w:val="32"/>
          <w:szCs w:val="32"/>
        </w:rPr>
        <w:t>本指引由</w:t>
      </w:r>
      <w:r>
        <w:rPr>
          <w:rFonts w:ascii="仿宋_GB2312" w:eastAsia="仿宋_GB2312" w:hAnsi="仿宋" w:hint="eastAsia"/>
          <w:sz w:val="32"/>
          <w:szCs w:val="32"/>
        </w:rPr>
        <w:t>中国结算和</w:t>
      </w:r>
      <w:r w:rsidRPr="00B33B77">
        <w:rPr>
          <w:rFonts w:ascii="仿宋_GB2312" w:eastAsia="仿宋_GB2312" w:hAnsi="仿宋" w:hint="eastAsia"/>
          <w:sz w:val="32"/>
          <w:szCs w:val="32"/>
        </w:rPr>
        <w:t>市场监测中心负责解释，自发布之日起施行。</w:t>
      </w:r>
    </w:p>
    <w:sectPr w:rsidR="00264DF2" w:rsidRPr="007710BF" w:rsidSect="00D234DC">
      <w:footerReference w:type="even" r:id="rId8"/>
      <w:footerReference w:type="default" r:id="rId9"/>
      <w:pgSz w:w="11906" w:h="16838" w:code="9"/>
      <w:pgMar w:top="141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5A" w:rsidRDefault="007E185A" w:rsidP="00A57BA2">
      <w:r>
        <w:separator/>
      </w:r>
    </w:p>
  </w:endnote>
  <w:endnote w:type="continuationSeparator" w:id="0">
    <w:p w:rsidR="007E185A" w:rsidRDefault="007E185A" w:rsidP="00A57BA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DC" w:rsidRDefault="00D234DC">
    <w:pPr>
      <w:pStyle w:val="a6"/>
      <w:rPr>
        <w:sz w:val="28"/>
      </w:rPr>
    </w:pPr>
    <w:r>
      <w:rPr>
        <w:rFonts w:hint="eastAsia"/>
        <w:sz w:val="28"/>
      </w:rPr>
      <w:t>—</w:t>
    </w:r>
    <w:r>
      <w:rPr>
        <w:rFonts w:hint="eastAsia"/>
        <w:sz w:val="28"/>
      </w:rPr>
      <w:t xml:space="preserve"> </w:t>
    </w:r>
    <w:r w:rsidR="00641C7F">
      <w:rPr>
        <w:rStyle w:val="a7"/>
        <w:sz w:val="28"/>
      </w:rPr>
      <w:fldChar w:fldCharType="begin"/>
    </w:r>
    <w:r>
      <w:rPr>
        <w:rStyle w:val="a7"/>
        <w:sz w:val="28"/>
      </w:rPr>
      <w:instrText xml:space="preserve"> PAGE </w:instrText>
    </w:r>
    <w:r w:rsidR="00641C7F">
      <w:rPr>
        <w:rStyle w:val="a7"/>
        <w:sz w:val="28"/>
      </w:rPr>
      <w:fldChar w:fldCharType="separate"/>
    </w:r>
    <w:r>
      <w:rPr>
        <w:rStyle w:val="a7"/>
        <w:noProof/>
        <w:sz w:val="28"/>
      </w:rPr>
      <w:t>20</w:t>
    </w:r>
    <w:r w:rsidR="00641C7F">
      <w:rPr>
        <w:rStyle w:val="a7"/>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DC" w:rsidRDefault="00641C7F" w:rsidP="00D80680">
    <w:pPr>
      <w:pStyle w:val="a6"/>
      <w:jc w:val="center"/>
      <w:rPr>
        <w:sz w:val="28"/>
      </w:rPr>
    </w:pPr>
    <w:r>
      <w:rPr>
        <w:rStyle w:val="a7"/>
        <w:sz w:val="28"/>
      </w:rPr>
      <w:fldChar w:fldCharType="begin"/>
    </w:r>
    <w:r w:rsidR="00D234DC">
      <w:rPr>
        <w:rStyle w:val="a7"/>
        <w:sz w:val="28"/>
      </w:rPr>
      <w:instrText xml:space="preserve"> PAGE </w:instrText>
    </w:r>
    <w:r>
      <w:rPr>
        <w:rStyle w:val="a7"/>
        <w:sz w:val="28"/>
      </w:rPr>
      <w:fldChar w:fldCharType="separate"/>
    </w:r>
    <w:r w:rsidR="00C46F10">
      <w:rPr>
        <w:rStyle w:val="a7"/>
        <w:noProof/>
        <w:sz w:val="28"/>
      </w:rPr>
      <w:t>2</w:t>
    </w:r>
    <w:r>
      <w:rPr>
        <w:rStyle w:val="a7"/>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5A" w:rsidRDefault="007E185A" w:rsidP="00A57BA2">
      <w:r>
        <w:separator/>
      </w:r>
    </w:p>
  </w:footnote>
  <w:footnote w:type="continuationSeparator" w:id="0">
    <w:p w:rsidR="007E185A" w:rsidRDefault="007E185A" w:rsidP="00A57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49B5F13"/>
    <w:multiLevelType w:val="hybridMultilevel"/>
    <w:tmpl w:val="30EC243C"/>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nsid w:val="0B9746DE"/>
    <w:multiLevelType w:val="hybridMultilevel"/>
    <w:tmpl w:val="A7CCC650"/>
    <w:lvl w:ilvl="0" w:tplc="57D050CA">
      <w:start w:val="1"/>
      <w:numFmt w:val="japaneseCounting"/>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C300D9"/>
    <w:multiLevelType w:val="hybridMultilevel"/>
    <w:tmpl w:val="5A34D6F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9961BF"/>
    <w:multiLevelType w:val="hybridMultilevel"/>
    <w:tmpl w:val="D1346456"/>
    <w:lvl w:ilvl="0" w:tplc="2BA01D42">
      <w:start w:val="1"/>
      <w:numFmt w:val="japaneseCounting"/>
      <w:lvlText w:val="第%1章"/>
      <w:lvlJc w:val="left"/>
      <w:pPr>
        <w:ind w:left="1161"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B92945"/>
    <w:multiLevelType w:val="hybridMultilevel"/>
    <w:tmpl w:val="FA92624C"/>
    <w:lvl w:ilvl="0" w:tplc="EB4AFD74">
      <w:start w:val="1"/>
      <w:numFmt w:val="japaneseCounting"/>
      <w:lvlText w:val="%1、"/>
      <w:lvlJc w:val="left"/>
      <w:pPr>
        <w:ind w:left="720" w:hanging="72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E73BD8"/>
    <w:multiLevelType w:val="hybridMultilevel"/>
    <w:tmpl w:val="63DE9DDA"/>
    <w:lvl w:ilvl="0" w:tplc="3288DDD6">
      <w:start w:val="1"/>
      <w:numFmt w:val="decimal"/>
      <w:lvlText w:val="（%1）"/>
      <w:lvlJc w:val="left"/>
      <w:pPr>
        <w:ind w:left="1917" w:hanging="1080"/>
      </w:pPr>
      <w:rPr>
        <w:rFonts w:hint="default"/>
        <w:lang w:val="en-US"/>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382D4DD3"/>
    <w:multiLevelType w:val="hybridMultilevel"/>
    <w:tmpl w:val="28C20FC6"/>
    <w:lvl w:ilvl="0" w:tplc="69C8B902">
      <w:start w:val="1"/>
      <w:numFmt w:val="chineseCountingThousand"/>
      <w:lvlText w:val="第%1条"/>
      <w:lvlJc w:val="left"/>
      <w:pPr>
        <w:ind w:left="1129" w:hanging="420"/>
      </w:pPr>
      <w:rPr>
        <w:rFonts w:ascii="仿宋_GB2312" w:eastAsia="仿宋_GB2312" w:hAnsi="仿宋" w:hint="eastAsia"/>
        <w:b/>
        <w:i w:val="0"/>
        <w:lang w:val="en-US"/>
      </w:rPr>
    </w:lvl>
    <w:lvl w:ilvl="1" w:tplc="254AD044">
      <w:start w:val="1"/>
      <w:numFmt w:val="japaneseCounting"/>
      <w:lvlText w:val="（%2）"/>
      <w:lvlJc w:val="left"/>
      <w:pPr>
        <w:ind w:left="1789" w:hanging="1080"/>
      </w:pPr>
      <w:rPr>
        <w:rFonts w:hint="default"/>
        <w:lang w:val="en-US"/>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3D703797"/>
    <w:multiLevelType w:val="hybridMultilevel"/>
    <w:tmpl w:val="FEEA13C0"/>
    <w:lvl w:ilvl="0" w:tplc="FB3CD6D6">
      <w:start w:val="1"/>
      <w:numFmt w:val="japaneseCounting"/>
      <w:lvlText w:val="第%1条"/>
      <w:lvlJc w:val="left"/>
      <w:pPr>
        <w:tabs>
          <w:tab w:val="num" w:pos="1827"/>
        </w:tabs>
        <w:ind w:left="1827" w:hanging="1392"/>
      </w:pPr>
      <w:rPr>
        <w:rFonts w:cs="Times New Roman" w:hint="eastAsia"/>
        <w:b/>
        <w:lang w:val="en-US"/>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9">
    <w:nsid w:val="62757C92"/>
    <w:multiLevelType w:val="hybridMultilevel"/>
    <w:tmpl w:val="B126A4EC"/>
    <w:lvl w:ilvl="0" w:tplc="FFFFFFFF">
      <w:start w:val="1"/>
      <w:numFmt w:val="decimal"/>
      <w:pStyle w:val="a"/>
      <w:lvlText w:val="%1．"/>
      <w:lvlJc w:val="left"/>
      <w:pPr>
        <w:tabs>
          <w:tab w:val="num" w:pos="360"/>
        </w:tabs>
        <w:ind w:left="360" w:hanging="360"/>
      </w:pPr>
      <w:rPr>
        <w:rFonts w:hint="eastAsia"/>
      </w:rPr>
    </w:lvl>
    <w:lvl w:ilvl="1" w:tplc="FFFFFFFF" w:tentative="1">
      <w:start w:val="1"/>
      <w:numFmt w:val="lowerLetter"/>
      <w:pStyle w:val="a0"/>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748F6A95"/>
    <w:multiLevelType w:val="hybridMultilevel"/>
    <w:tmpl w:val="30EC243C"/>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10"/>
  </w:num>
  <w:num w:numId="8">
    <w:abstractNumId w:val="0"/>
  </w:num>
  <w:num w:numId="9">
    <w:abstractNumId w:val="9"/>
  </w:num>
  <w:num w:numId="10">
    <w:abstractNumId w:val="2"/>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MK">
    <w15:presenceInfo w15:providerId="None" w15:userId="WMK"/>
  </w15:person>
  <w15:person w15:author="吴楠楠">
    <w15:presenceInfo w15:providerId="None" w15:userId="吴楠楠"/>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BA2"/>
    <w:rsid w:val="00046CCE"/>
    <w:rsid w:val="000836B2"/>
    <w:rsid w:val="000B5646"/>
    <w:rsid w:val="000D0ED1"/>
    <w:rsid w:val="00226FE6"/>
    <w:rsid w:val="00264DF2"/>
    <w:rsid w:val="003370B6"/>
    <w:rsid w:val="0046797B"/>
    <w:rsid w:val="00521C11"/>
    <w:rsid w:val="00537662"/>
    <w:rsid w:val="006054D5"/>
    <w:rsid w:val="00641C7F"/>
    <w:rsid w:val="00681099"/>
    <w:rsid w:val="006837E4"/>
    <w:rsid w:val="006B46D4"/>
    <w:rsid w:val="006D5554"/>
    <w:rsid w:val="007710BF"/>
    <w:rsid w:val="007772F1"/>
    <w:rsid w:val="007B4398"/>
    <w:rsid w:val="007B5070"/>
    <w:rsid w:val="007E185A"/>
    <w:rsid w:val="008267C9"/>
    <w:rsid w:val="00835407"/>
    <w:rsid w:val="008450D5"/>
    <w:rsid w:val="009043D1"/>
    <w:rsid w:val="00915628"/>
    <w:rsid w:val="009D13C1"/>
    <w:rsid w:val="009E42C9"/>
    <w:rsid w:val="00A57BA2"/>
    <w:rsid w:val="00A8691C"/>
    <w:rsid w:val="00B31584"/>
    <w:rsid w:val="00B51BF6"/>
    <w:rsid w:val="00B572B3"/>
    <w:rsid w:val="00C33862"/>
    <w:rsid w:val="00C46F10"/>
    <w:rsid w:val="00CE53AA"/>
    <w:rsid w:val="00D234DC"/>
    <w:rsid w:val="00D72C37"/>
    <w:rsid w:val="00D80680"/>
    <w:rsid w:val="00E31D15"/>
    <w:rsid w:val="00E936F6"/>
    <w:rsid w:val="00FC3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7BA2"/>
    <w:pPr>
      <w:widowControl w:val="0"/>
      <w:jc w:val="both"/>
    </w:pPr>
    <w:rPr>
      <w:rFonts w:ascii="Times New Roman" w:eastAsia="宋体" w:hAnsi="Times New Roman" w:cs="Times New Roman"/>
      <w:szCs w:val="24"/>
    </w:rPr>
  </w:style>
  <w:style w:type="paragraph" w:styleId="1">
    <w:name w:val="heading 1"/>
    <w:basedOn w:val="a1"/>
    <w:next w:val="a1"/>
    <w:link w:val="1Char"/>
    <w:uiPriority w:val="99"/>
    <w:qFormat/>
    <w:rsid w:val="00A57BA2"/>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A57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A57BA2"/>
    <w:rPr>
      <w:sz w:val="18"/>
      <w:szCs w:val="18"/>
    </w:rPr>
  </w:style>
  <w:style w:type="paragraph" w:styleId="a6">
    <w:name w:val="footer"/>
    <w:basedOn w:val="a1"/>
    <w:link w:val="Char0"/>
    <w:uiPriority w:val="99"/>
    <w:unhideWhenUsed/>
    <w:rsid w:val="00A57BA2"/>
    <w:pPr>
      <w:tabs>
        <w:tab w:val="center" w:pos="4153"/>
        <w:tab w:val="right" w:pos="8306"/>
      </w:tabs>
      <w:snapToGrid w:val="0"/>
      <w:jc w:val="left"/>
    </w:pPr>
    <w:rPr>
      <w:sz w:val="18"/>
      <w:szCs w:val="18"/>
    </w:rPr>
  </w:style>
  <w:style w:type="character" w:customStyle="1" w:styleId="Char0">
    <w:name w:val="页脚 Char"/>
    <w:basedOn w:val="a2"/>
    <w:link w:val="a6"/>
    <w:uiPriority w:val="99"/>
    <w:rsid w:val="00A57BA2"/>
    <w:rPr>
      <w:sz w:val="18"/>
      <w:szCs w:val="18"/>
    </w:rPr>
  </w:style>
  <w:style w:type="character" w:customStyle="1" w:styleId="1Char">
    <w:name w:val="标题 1 Char"/>
    <w:basedOn w:val="a2"/>
    <w:link w:val="1"/>
    <w:uiPriority w:val="99"/>
    <w:rsid w:val="00A57BA2"/>
    <w:rPr>
      <w:rFonts w:ascii="Times New Roman" w:eastAsia="宋体" w:hAnsi="Times New Roman" w:cs="Times New Roman"/>
      <w:b/>
      <w:bCs/>
      <w:kern w:val="44"/>
      <w:sz w:val="44"/>
      <w:szCs w:val="44"/>
    </w:rPr>
  </w:style>
  <w:style w:type="character" w:styleId="a7">
    <w:name w:val="page number"/>
    <w:basedOn w:val="a2"/>
    <w:rsid w:val="00A57BA2"/>
  </w:style>
  <w:style w:type="paragraph" w:styleId="a8">
    <w:name w:val="Date"/>
    <w:basedOn w:val="a1"/>
    <w:next w:val="a1"/>
    <w:link w:val="Char1"/>
    <w:rsid w:val="00A57BA2"/>
    <w:rPr>
      <w:rFonts w:ascii="仿宋_GB2312" w:eastAsia="仿宋_GB2312"/>
      <w:sz w:val="32"/>
    </w:rPr>
  </w:style>
  <w:style w:type="character" w:customStyle="1" w:styleId="Char1">
    <w:name w:val="日期 Char"/>
    <w:basedOn w:val="a2"/>
    <w:link w:val="a8"/>
    <w:rsid w:val="00A57BA2"/>
    <w:rPr>
      <w:rFonts w:ascii="仿宋_GB2312" w:eastAsia="仿宋_GB2312" w:hAnsi="Times New Roman" w:cs="Times New Roman"/>
      <w:sz w:val="32"/>
      <w:szCs w:val="24"/>
    </w:rPr>
  </w:style>
  <w:style w:type="paragraph" w:styleId="a9">
    <w:name w:val="Balloon Text"/>
    <w:basedOn w:val="a1"/>
    <w:link w:val="Char2"/>
    <w:uiPriority w:val="99"/>
    <w:semiHidden/>
    <w:rsid w:val="00A57BA2"/>
    <w:rPr>
      <w:sz w:val="18"/>
      <w:szCs w:val="18"/>
    </w:rPr>
  </w:style>
  <w:style w:type="character" w:customStyle="1" w:styleId="Char2">
    <w:name w:val="批注框文本 Char"/>
    <w:basedOn w:val="a2"/>
    <w:link w:val="a9"/>
    <w:uiPriority w:val="99"/>
    <w:semiHidden/>
    <w:rsid w:val="00A57BA2"/>
    <w:rPr>
      <w:rFonts w:ascii="Times New Roman" w:eastAsia="宋体" w:hAnsi="Times New Roman" w:cs="Times New Roman"/>
      <w:sz w:val="18"/>
      <w:szCs w:val="18"/>
    </w:rPr>
  </w:style>
  <w:style w:type="character" w:styleId="aa">
    <w:name w:val="annotation reference"/>
    <w:basedOn w:val="a2"/>
    <w:uiPriority w:val="99"/>
    <w:unhideWhenUsed/>
    <w:rsid w:val="00A57BA2"/>
    <w:rPr>
      <w:sz w:val="21"/>
      <w:szCs w:val="21"/>
    </w:rPr>
  </w:style>
  <w:style w:type="paragraph" w:styleId="ab">
    <w:name w:val="annotation text"/>
    <w:basedOn w:val="a1"/>
    <w:link w:val="Char3"/>
    <w:uiPriority w:val="99"/>
    <w:unhideWhenUsed/>
    <w:rsid w:val="00A57BA2"/>
    <w:pPr>
      <w:jc w:val="left"/>
    </w:pPr>
    <w:rPr>
      <w:rFonts w:ascii="Calibri" w:hAnsi="Calibri"/>
      <w:szCs w:val="22"/>
    </w:rPr>
  </w:style>
  <w:style w:type="character" w:customStyle="1" w:styleId="Char3">
    <w:name w:val="批注文字 Char"/>
    <w:basedOn w:val="a2"/>
    <w:link w:val="ab"/>
    <w:uiPriority w:val="99"/>
    <w:rsid w:val="00A57BA2"/>
    <w:rPr>
      <w:rFonts w:ascii="Calibri" w:eastAsia="宋体" w:hAnsi="Calibri" w:cs="Times New Roman"/>
    </w:rPr>
  </w:style>
  <w:style w:type="paragraph" w:styleId="ac">
    <w:name w:val="annotation subject"/>
    <w:basedOn w:val="ab"/>
    <w:next w:val="ab"/>
    <w:link w:val="Char4"/>
    <w:uiPriority w:val="99"/>
    <w:unhideWhenUsed/>
    <w:rsid w:val="00A57BA2"/>
    <w:rPr>
      <w:b/>
      <w:bCs/>
    </w:rPr>
  </w:style>
  <w:style w:type="character" w:customStyle="1" w:styleId="Char4">
    <w:name w:val="批注主题 Char"/>
    <w:basedOn w:val="Char3"/>
    <w:link w:val="ac"/>
    <w:uiPriority w:val="99"/>
    <w:rsid w:val="00A57BA2"/>
    <w:rPr>
      <w:rFonts w:ascii="Calibri" w:eastAsia="宋体" w:hAnsi="Calibri" w:cs="Times New Roman"/>
      <w:b/>
      <w:bCs/>
    </w:rPr>
  </w:style>
  <w:style w:type="paragraph" w:styleId="ad">
    <w:name w:val="List Paragraph"/>
    <w:basedOn w:val="a1"/>
    <w:uiPriority w:val="34"/>
    <w:qFormat/>
    <w:rsid w:val="00A57BA2"/>
    <w:pPr>
      <w:ind w:firstLineChars="200" w:firstLine="420"/>
    </w:pPr>
    <w:rPr>
      <w:rFonts w:ascii="Calibri" w:hAnsi="Calibri" w:cs="Calibri"/>
      <w:szCs w:val="21"/>
    </w:rPr>
  </w:style>
  <w:style w:type="paragraph" w:customStyle="1" w:styleId="ae">
    <w:name w:val="段"/>
    <w:rsid w:val="00A57BA2"/>
    <w:pPr>
      <w:autoSpaceDE w:val="0"/>
      <w:autoSpaceDN w:val="0"/>
      <w:ind w:firstLineChars="200" w:firstLine="200"/>
      <w:jc w:val="both"/>
    </w:pPr>
    <w:rPr>
      <w:rFonts w:ascii="宋体" w:eastAsia="宋体" w:hAnsi="Times New Roman" w:cs="Times New Roman"/>
      <w:kern w:val="0"/>
      <w:szCs w:val="20"/>
    </w:rPr>
  </w:style>
  <w:style w:type="paragraph" w:styleId="af">
    <w:name w:val="Body Text"/>
    <w:basedOn w:val="a1"/>
    <w:link w:val="Char5"/>
    <w:rsid w:val="00A57BA2"/>
    <w:pPr>
      <w:jc w:val="center"/>
    </w:pPr>
    <w:rPr>
      <w:b/>
      <w:bCs/>
      <w:sz w:val="44"/>
    </w:rPr>
  </w:style>
  <w:style w:type="character" w:customStyle="1" w:styleId="Char5">
    <w:name w:val="正文文本 Char"/>
    <w:basedOn w:val="a2"/>
    <w:link w:val="af"/>
    <w:rsid w:val="00A57BA2"/>
    <w:rPr>
      <w:rFonts w:ascii="Times New Roman" w:eastAsia="宋体" w:hAnsi="Times New Roman" w:cs="Times New Roman"/>
      <w:b/>
      <w:bCs/>
      <w:sz w:val="44"/>
      <w:szCs w:val="24"/>
    </w:rPr>
  </w:style>
  <w:style w:type="paragraph" w:styleId="af0">
    <w:name w:val="Body Text Indent"/>
    <w:basedOn w:val="a1"/>
    <w:link w:val="Char6"/>
    <w:rsid w:val="00A57BA2"/>
    <w:pPr>
      <w:ind w:firstLine="630"/>
    </w:pPr>
    <w:rPr>
      <w:rFonts w:eastAsia="仿宋_GB2312"/>
      <w:sz w:val="28"/>
    </w:rPr>
  </w:style>
  <w:style w:type="character" w:customStyle="1" w:styleId="Char6">
    <w:name w:val="正文文本缩进 Char"/>
    <w:basedOn w:val="a2"/>
    <w:link w:val="af0"/>
    <w:rsid w:val="00A57BA2"/>
    <w:rPr>
      <w:rFonts w:ascii="Times New Roman" w:eastAsia="仿宋_GB2312" w:hAnsi="Times New Roman" w:cs="Times New Roman"/>
      <w:sz w:val="28"/>
      <w:szCs w:val="24"/>
    </w:rPr>
  </w:style>
  <w:style w:type="paragraph" w:customStyle="1" w:styleId="af1">
    <w:name w:val="附录标识"/>
    <w:basedOn w:val="a"/>
    <w:rsid w:val="00A57BA2"/>
    <w:pPr>
      <w:tabs>
        <w:tab w:val="clear" w:pos="420"/>
        <w:tab w:val="num" w:pos="360"/>
        <w:tab w:val="left" w:pos="6405"/>
      </w:tabs>
      <w:spacing w:after="200"/>
      <w:ind w:left="360" w:hanging="360"/>
    </w:pPr>
    <w:rPr>
      <w:sz w:val="21"/>
    </w:rPr>
  </w:style>
  <w:style w:type="paragraph" w:customStyle="1" w:styleId="a">
    <w:name w:val="前言、引言标题"/>
    <w:next w:val="a1"/>
    <w:rsid w:val="00A57BA2"/>
    <w:pPr>
      <w:numPr>
        <w:numId w:val="9"/>
      </w:numPr>
      <w:shd w:val="clear" w:color="FFFFFF" w:fill="FFFFFF"/>
      <w:tabs>
        <w:tab w:val="clear" w:pos="360"/>
        <w:tab w:val="num" w:pos="420"/>
      </w:tabs>
      <w:spacing w:before="640" w:after="560"/>
      <w:ind w:left="420" w:hanging="420"/>
      <w:jc w:val="center"/>
      <w:outlineLvl w:val="0"/>
    </w:pPr>
    <w:rPr>
      <w:rFonts w:ascii="黑体" w:eastAsia="黑体" w:hAnsi="Times New Roman" w:cs="Times New Roman"/>
      <w:kern w:val="0"/>
      <w:sz w:val="32"/>
      <w:szCs w:val="20"/>
    </w:rPr>
  </w:style>
  <w:style w:type="paragraph" w:customStyle="1" w:styleId="af2">
    <w:name w:val="附录一级条标题"/>
    <w:basedOn w:val="a0"/>
    <w:next w:val="ae"/>
    <w:rsid w:val="00A57BA2"/>
    <w:pPr>
      <w:tabs>
        <w:tab w:val="num" w:pos="840"/>
      </w:tabs>
      <w:autoSpaceDN w:val="0"/>
      <w:spacing w:beforeLines="0" w:afterLines="0"/>
      <w:ind w:left="840" w:hanging="420"/>
      <w:outlineLvl w:val="2"/>
    </w:pPr>
  </w:style>
  <w:style w:type="paragraph" w:customStyle="1" w:styleId="a0">
    <w:name w:val="附录章标题"/>
    <w:next w:val="ae"/>
    <w:rsid w:val="00A57BA2"/>
    <w:pPr>
      <w:numPr>
        <w:ilvl w:val="1"/>
        <w:numId w:val="9"/>
      </w:numPr>
      <w:tabs>
        <w:tab w:val="clear" w:pos="840"/>
      </w:tabs>
      <w:wordWrap w:val="0"/>
      <w:overflowPunct w:val="0"/>
      <w:autoSpaceDE w:val="0"/>
      <w:spacing w:beforeLines="50" w:afterLines="50"/>
      <w:ind w:left="0" w:firstLine="0"/>
      <w:jc w:val="both"/>
      <w:textAlignment w:val="baseline"/>
      <w:outlineLvl w:val="1"/>
    </w:pPr>
    <w:rPr>
      <w:rFonts w:ascii="黑体" w:eastAsia="黑体" w:hAnsi="Times New Roman" w:cs="Times New Roman"/>
      <w:kern w:val="21"/>
      <w:szCs w:val="20"/>
    </w:rPr>
  </w:style>
  <w:style w:type="paragraph" w:styleId="af3">
    <w:name w:val="Normal Indent"/>
    <w:aliases w:val="特点"/>
    <w:basedOn w:val="a1"/>
    <w:rsid w:val="00A57BA2"/>
    <w:pPr>
      <w:ind w:firstLine="420"/>
    </w:pPr>
    <w:rPr>
      <w:szCs w:val="20"/>
    </w:rPr>
  </w:style>
  <w:style w:type="paragraph" w:customStyle="1" w:styleId="10">
    <w:name w:val="页眉1"/>
    <w:basedOn w:val="a5"/>
    <w:rsid w:val="00A57BA2"/>
    <w:pPr>
      <w:pBdr>
        <w:bottom w:val="thinThickSmallGap" w:sz="24" w:space="1" w:color="auto"/>
      </w:pBdr>
      <w:jc w:val="both"/>
    </w:pPr>
    <w:rPr>
      <w:szCs w:val="20"/>
    </w:rPr>
  </w:style>
  <w:style w:type="paragraph" w:styleId="3">
    <w:name w:val="Body Text Indent 3"/>
    <w:basedOn w:val="a1"/>
    <w:link w:val="3Char"/>
    <w:rsid w:val="00A57BA2"/>
    <w:pPr>
      <w:spacing w:after="120"/>
      <w:ind w:leftChars="200" w:left="420"/>
    </w:pPr>
    <w:rPr>
      <w:sz w:val="16"/>
      <w:szCs w:val="16"/>
    </w:rPr>
  </w:style>
  <w:style w:type="character" w:customStyle="1" w:styleId="3Char">
    <w:name w:val="正文文本缩进 3 Char"/>
    <w:basedOn w:val="a2"/>
    <w:link w:val="3"/>
    <w:rsid w:val="00A57BA2"/>
    <w:rPr>
      <w:rFonts w:ascii="Times New Roman" w:eastAsia="宋体" w:hAnsi="Times New Roman" w:cs="Times New Roman"/>
      <w:sz w:val="16"/>
      <w:szCs w:val="16"/>
    </w:rPr>
  </w:style>
  <w:style w:type="paragraph" w:customStyle="1" w:styleId="af4">
    <w:name w:val="正文表标题"/>
    <w:next w:val="ae"/>
    <w:rsid w:val="00A57BA2"/>
    <w:pPr>
      <w:tabs>
        <w:tab w:val="num" w:pos="1827"/>
      </w:tabs>
      <w:ind w:left="1827" w:hanging="1392"/>
      <w:jc w:val="center"/>
    </w:pPr>
    <w:rPr>
      <w:rFonts w:ascii="黑体" w:eastAsia="黑体" w:hAnsi="Times New Roman" w:cs="Times New Roman"/>
      <w:kern w:val="0"/>
      <w:szCs w:val="20"/>
    </w:rPr>
  </w:style>
  <w:style w:type="paragraph" w:customStyle="1" w:styleId="6">
    <w:name w:val="编号6"/>
    <w:basedOn w:val="a1"/>
    <w:autoRedefine/>
    <w:rsid w:val="00A57BA2"/>
    <w:rPr>
      <w:rFonts w:ascii="黑体" w:eastAsia="黑体"/>
      <w:sz w:val="28"/>
      <w:szCs w:val="20"/>
    </w:rPr>
  </w:style>
  <w:style w:type="paragraph" w:customStyle="1" w:styleId="font7">
    <w:name w:val="font7"/>
    <w:basedOn w:val="a1"/>
    <w:rsid w:val="00A57BA2"/>
    <w:pPr>
      <w:widowControl/>
      <w:spacing w:before="100" w:beforeAutospacing="1" w:after="100" w:afterAutospacing="1"/>
      <w:ind w:left="2940" w:hanging="420"/>
      <w:jc w:val="left"/>
    </w:pPr>
    <w:rPr>
      <w:kern w:val="0"/>
      <w:sz w:val="18"/>
      <w:szCs w:val="18"/>
    </w:rPr>
  </w:style>
  <w:style w:type="paragraph" w:styleId="af5">
    <w:name w:val="Document Map"/>
    <w:basedOn w:val="a1"/>
    <w:link w:val="Char7"/>
    <w:rsid w:val="00A57BA2"/>
    <w:pPr>
      <w:shd w:val="clear" w:color="auto" w:fill="000080"/>
    </w:pPr>
  </w:style>
  <w:style w:type="character" w:customStyle="1" w:styleId="Char7">
    <w:name w:val="文档结构图 Char"/>
    <w:basedOn w:val="a2"/>
    <w:link w:val="af5"/>
    <w:rsid w:val="00A57BA2"/>
    <w:rPr>
      <w:rFonts w:ascii="Times New Roman" w:eastAsia="宋体" w:hAnsi="Times New Roman" w:cs="Times New Roman"/>
      <w:szCs w:val="24"/>
      <w:shd w:val="clear" w:color="auto" w:fill="000080"/>
    </w:rPr>
  </w:style>
  <w:style w:type="paragraph" w:customStyle="1" w:styleId="af6">
    <w:name w:val="附录表标题"/>
    <w:next w:val="ae"/>
    <w:rsid w:val="00A57BA2"/>
    <w:pPr>
      <w:jc w:val="center"/>
      <w:textAlignment w:val="baseline"/>
    </w:pPr>
    <w:rPr>
      <w:rFonts w:ascii="黑体" w:eastAsia="黑体" w:hAnsi="Times New Roman" w:cs="Times New Roman"/>
      <w:kern w:val="21"/>
      <w:szCs w:val="20"/>
    </w:rPr>
  </w:style>
</w:styles>
</file>

<file path=word/webSettings.xml><?xml version="1.0" encoding="utf-8"?>
<w:webSettings xmlns:r="http://schemas.openxmlformats.org/officeDocument/2006/relationships" xmlns:w="http://schemas.openxmlformats.org/wordprocessingml/2006/main">
  <w:divs>
    <w:div w:id="6394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8A0E-DE11-4E4C-8D28-D80DE93C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CN=李晋/OU=规划发展部/OU=公司总部/O=ChinaClear</dc:creator>
  <cp:lastModifiedBy>徐琨:开始</cp:lastModifiedBy>
  <cp:revision>5</cp:revision>
  <dcterms:created xsi:type="dcterms:W3CDTF">2015-01-06T09:46:00Z</dcterms:created>
  <dcterms:modified xsi:type="dcterms:W3CDTF">2015-01-12T05:17:00Z</dcterms:modified>
</cp:coreProperties>
</file>