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03F28E" w14:textId="59706A1B" w:rsidR="005F62CF" w:rsidRPr="00427E67" w:rsidRDefault="005F62CF" w:rsidP="005F62CF">
      <w:pPr>
        <w:ind w:firstLineChars="0" w:firstLine="0"/>
        <w:jc w:val="left"/>
        <w:rPr>
          <w:rFonts w:ascii="黑体" w:eastAsia="黑体" w:hAnsi="黑体"/>
          <w:szCs w:val="32"/>
        </w:rPr>
      </w:pPr>
      <w:r w:rsidRPr="00427E67">
        <w:rPr>
          <w:rFonts w:ascii="黑体" w:eastAsia="黑体" w:hAnsi="黑体" w:hint="eastAsia"/>
          <w:szCs w:val="32"/>
        </w:rPr>
        <w:t>附件4</w:t>
      </w:r>
    </w:p>
    <w:p w14:paraId="5D7D07C1" w14:textId="77777777" w:rsidR="005F62CF" w:rsidRDefault="005F62CF" w:rsidP="005F62CF">
      <w:pPr>
        <w:ind w:firstLineChars="0" w:firstLine="0"/>
        <w:jc w:val="center"/>
        <w:rPr>
          <w:rFonts w:ascii="方正小标宋简体" w:eastAsia="方正小标宋简体" w:hAnsi="华文中宋"/>
          <w:sz w:val="44"/>
          <w:szCs w:val="44"/>
        </w:rPr>
      </w:pPr>
    </w:p>
    <w:p w14:paraId="209F4C9C" w14:textId="77777777" w:rsidR="005F62CF" w:rsidRDefault="005F62CF" w:rsidP="005F62CF">
      <w:pPr>
        <w:ind w:firstLineChars="0" w:firstLine="0"/>
        <w:jc w:val="center"/>
        <w:rPr>
          <w:rFonts w:ascii="方正小标宋简体" w:eastAsia="方正小标宋简体" w:hAnsi="华文中宋"/>
          <w:sz w:val="44"/>
          <w:szCs w:val="44"/>
        </w:rPr>
      </w:pPr>
      <w:r w:rsidRPr="0028764C">
        <w:rPr>
          <w:rFonts w:ascii="方正小标宋简体" w:eastAsia="方正小标宋简体" w:hAnsi="华文中宋" w:hint="eastAsia"/>
          <w:sz w:val="44"/>
          <w:szCs w:val="44"/>
        </w:rPr>
        <w:t>《机构间私募产品报价与服务系统资产支持证券定期报告内容与格式指引</w:t>
      </w:r>
    </w:p>
    <w:p w14:paraId="1A4AB9D1" w14:textId="77777777" w:rsidR="005F62CF" w:rsidRPr="00FB7482" w:rsidRDefault="005F62CF" w:rsidP="00CD31A2">
      <w:pPr>
        <w:ind w:firstLineChars="0" w:firstLine="0"/>
        <w:jc w:val="center"/>
        <w:rPr>
          <w:rFonts w:ascii="方正小标宋简体" w:eastAsia="方正小标宋简体" w:hAnsi="华文中宋"/>
          <w:sz w:val="44"/>
          <w:szCs w:val="44"/>
        </w:rPr>
      </w:pPr>
      <w:r w:rsidRPr="00FB7482">
        <w:rPr>
          <w:rFonts w:ascii="方正小标宋简体" w:eastAsia="方正小标宋简体" w:hAnsi="华文中宋" w:hint="eastAsia"/>
          <w:sz w:val="44"/>
          <w:szCs w:val="44"/>
        </w:rPr>
        <w:t>（征求意见稿）》</w:t>
      </w:r>
      <w:r w:rsidRPr="00FB7482">
        <w:rPr>
          <w:rFonts w:ascii="方正小标宋简体" w:eastAsia="方正小标宋简体" w:hAnsi="华文中宋"/>
          <w:sz w:val="44"/>
          <w:szCs w:val="44"/>
        </w:rPr>
        <w:t>起草说明</w:t>
      </w:r>
    </w:p>
    <w:p w14:paraId="3FC742CB" w14:textId="77777777" w:rsidR="005F62CF" w:rsidRDefault="005F62CF" w:rsidP="00CD31A2">
      <w:pPr>
        <w:spacing w:line="600" w:lineRule="exact"/>
        <w:ind w:firstLine="600"/>
        <w:rPr>
          <w:rFonts w:ascii="仿宋_GB2312"/>
          <w:sz w:val="30"/>
          <w:szCs w:val="30"/>
        </w:rPr>
      </w:pPr>
    </w:p>
    <w:p w14:paraId="5A5A449B" w14:textId="77777777" w:rsidR="005F62CF" w:rsidRPr="00C961EA" w:rsidRDefault="005F62CF" w:rsidP="00CD31A2">
      <w:pPr>
        <w:ind w:firstLine="640"/>
        <w:rPr>
          <w:rFonts w:ascii="黑体" w:eastAsia="黑体" w:hAnsi="黑体"/>
        </w:rPr>
      </w:pPr>
      <w:r w:rsidRPr="00C961EA">
        <w:rPr>
          <w:rFonts w:ascii="黑体" w:eastAsia="黑体" w:hAnsi="黑体" w:hint="eastAsia"/>
        </w:rPr>
        <w:t>一、起草背景</w:t>
      </w:r>
    </w:p>
    <w:p w14:paraId="5406C680" w14:textId="08B489A1" w:rsidR="005F62CF" w:rsidRPr="00CD31A2" w:rsidRDefault="005F62CF" w:rsidP="00CD31A2">
      <w:pPr>
        <w:ind w:firstLine="640"/>
      </w:pPr>
      <w:r w:rsidRPr="00CD31A2">
        <w:rPr>
          <w:rFonts w:hint="eastAsia"/>
        </w:rPr>
        <w:t>近年来，</w:t>
      </w:r>
      <w:r w:rsidR="00CD31A2">
        <w:rPr>
          <w:rFonts w:hint="eastAsia"/>
          <w:sz w:val="30"/>
          <w:szCs w:val="30"/>
        </w:rPr>
        <w:t>机构间私募产品报价与服务系统</w:t>
      </w:r>
      <w:r w:rsidR="006F6187" w:rsidRPr="00495293">
        <w:rPr>
          <w:rFonts w:hint="eastAsia"/>
          <w:sz w:val="30"/>
          <w:szCs w:val="30"/>
        </w:rPr>
        <w:t>资产证券化业务发展</w:t>
      </w:r>
      <w:r w:rsidR="006F6187" w:rsidRPr="00495293">
        <w:rPr>
          <w:sz w:val="30"/>
          <w:szCs w:val="30"/>
        </w:rPr>
        <w:t>较快</w:t>
      </w:r>
      <w:r w:rsidRPr="00CD31A2">
        <w:rPr>
          <w:rFonts w:hint="eastAsia"/>
        </w:rPr>
        <w:t>，挂牌数量和金额增加，</w:t>
      </w:r>
      <w:r w:rsidR="00CD31A2">
        <w:rPr>
          <w:rFonts w:hint="eastAsia"/>
          <w:sz w:val="30"/>
          <w:szCs w:val="30"/>
        </w:rPr>
        <w:t>中证机构间报价系统股份有限公司</w:t>
      </w:r>
      <w:r w:rsidRPr="00CD31A2">
        <w:rPr>
          <w:rFonts w:hint="eastAsia"/>
        </w:rPr>
        <w:t>在业务</w:t>
      </w:r>
      <w:r w:rsidRPr="00CD31A2">
        <w:t>开展</w:t>
      </w:r>
      <w:r w:rsidRPr="00CD31A2">
        <w:rPr>
          <w:rFonts w:hint="eastAsia"/>
        </w:rPr>
        <w:t>过程中</w:t>
      </w:r>
      <w:r w:rsidRPr="00CD31A2">
        <w:t>，</w:t>
      </w:r>
      <w:r w:rsidRPr="00CD31A2">
        <w:rPr>
          <w:rFonts w:hint="eastAsia"/>
        </w:rPr>
        <w:t>始终</w:t>
      </w:r>
      <w:r w:rsidRPr="00CD31A2">
        <w:t>坚持</w:t>
      </w:r>
      <w:r w:rsidRPr="00CD31A2">
        <w:rPr>
          <w:rFonts w:hint="eastAsia"/>
        </w:rPr>
        <w:t>发展与风控并重的原则，</w:t>
      </w:r>
      <w:r w:rsidRPr="00CD31A2">
        <w:t>广泛听取市场意见，不断积累监管</w:t>
      </w:r>
      <w:r w:rsidRPr="00CD31A2">
        <w:rPr>
          <w:rFonts w:ascii="仿宋_GB2312"/>
        </w:rPr>
        <w:t>经验，</w:t>
      </w:r>
      <w:r w:rsidRPr="00CD31A2">
        <w:rPr>
          <w:rFonts w:ascii="仿宋_GB2312" w:hint="eastAsia"/>
        </w:rPr>
        <w:t>持续建立健全</w:t>
      </w:r>
      <w:r w:rsidRPr="00CD31A2">
        <w:rPr>
          <w:rFonts w:ascii="仿宋_GB2312"/>
        </w:rPr>
        <w:t>资产支持证券</w:t>
      </w:r>
      <w:r w:rsidRPr="00CD31A2">
        <w:rPr>
          <w:rFonts w:ascii="仿宋_GB2312" w:hint="eastAsia"/>
        </w:rPr>
        <w:t>信息披露与风险管理体系</w:t>
      </w:r>
      <w:r w:rsidRPr="00CD31A2">
        <w:rPr>
          <w:rFonts w:hint="eastAsia"/>
        </w:rPr>
        <w:t>。随着市场的发展，投资者专业性与风险意识持续增强，对资产支持证券持续信息披露提出了更高要求。从资产支持证券信息披露实际情况看，年度资产管理报告和托管报告作为主要的资产支持证券信息披露文件，不同程度地存在</w:t>
      </w:r>
      <w:r w:rsidRPr="00CD31A2">
        <w:t>内容不完整、格式不规范、</w:t>
      </w:r>
      <w:r w:rsidRPr="00CD31A2">
        <w:rPr>
          <w:rFonts w:hint="eastAsia"/>
        </w:rPr>
        <w:t>针对性不</w:t>
      </w:r>
      <w:r w:rsidRPr="00CD31A2">
        <w:t>强</w:t>
      </w:r>
      <w:r w:rsidRPr="00CD31A2">
        <w:rPr>
          <w:rFonts w:hint="eastAsia"/>
        </w:rPr>
        <w:t>、有效性不足及风险</w:t>
      </w:r>
      <w:r w:rsidRPr="00CD31A2">
        <w:t>揭示</w:t>
      </w:r>
      <w:r w:rsidRPr="00CD31A2">
        <w:rPr>
          <w:rFonts w:hint="eastAsia"/>
        </w:rPr>
        <w:t>不充分等问题，影响了投资者</w:t>
      </w:r>
      <w:r w:rsidRPr="00CD31A2">
        <w:t>作出合理</w:t>
      </w:r>
      <w:r w:rsidRPr="00CD31A2">
        <w:rPr>
          <w:rFonts w:hint="eastAsia"/>
        </w:rPr>
        <w:t>的</w:t>
      </w:r>
      <w:r w:rsidRPr="00CD31A2">
        <w:t>投资决策</w:t>
      </w:r>
      <w:r w:rsidRPr="00CD31A2">
        <w:rPr>
          <w:rFonts w:hint="eastAsia"/>
        </w:rPr>
        <w:t>，</w:t>
      </w:r>
      <w:r w:rsidR="006F6187" w:rsidRPr="00495293">
        <w:rPr>
          <w:rFonts w:hint="eastAsia"/>
          <w:sz w:val="30"/>
          <w:szCs w:val="30"/>
        </w:rPr>
        <w:t>也</w:t>
      </w:r>
      <w:r w:rsidR="006F6187">
        <w:rPr>
          <w:rFonts w:hint="eastAsia"/>
          <w:sz w:val="30"/>
          <w:szCs w:val="30"/>
        </w:rPr>
        <w:t>不利于</w:t>
      </w:r>
      <w:r w:rsidR="006F6187" w:rsidRPr="00495293">
        <w:rPr>
          <w:rFonts w:hint="eastAsia"/>
          <w:sz w:val="30"/>
          <w:szCs w:val="30"/>
        </w:rPr>
        <w:t>自律监管</w:t>
      </w:r>
      <w:r w:rsidR="006F6187">
        <w:rPr>
          <w:rFonts w:hint="eastAsia"/>
          <w:sz w:val="30"/>
          <w:szCs w:val="30"/>
        </w:rPr>
        <w:t>和</w:t>
      </w:r>
      <w:r w:rsidR="006F6187" w:rsidRPr="00495293">
        <w:rPr>
          <w:rFonts w:hint="eastAsia"/>
          <w:sz w:val="30"/>
          <w:szCs w:val="30"/>
        </w:rPr>
        <w:t>风险</w:t>
      </w:r>
      <w:r w:rsidR="006F6187">
        <w:rPr>
          <w:rFonts w:hint="eastAsia"/>
          <w:sz w:val="30"/>
          <w:szCs w:val="30"/>
        </w:rPr>
        <w:t>管理</w:t>
      </w:r>
      <w:r w:rsidR="006F6187" w:rsidRPr="00495293">
        <w:rPr>
          <w:rFonts w:hint="eastAsia"/>
          <w:sz w:val="30"/>
          <w:szCs w:val="30"/>
        </w:rPr>
        <w:t>工作的</w:t>
      </w:r>
      <w:r w:rsidR="006F6187">
        <w:rPr>
          <w:rFonts w:hint="eastAsia"/>
          <w:sz w:val="30"/>
          <w:szCs w:val="30"/>
        </w:rPr>
        <w:t>开展</w:t>
      </w:r>
      <w:r w:rsidRPr="00CD31A2">
        <w:rPr>
          <w:rFonts w:hint="eastAsia"/>
        </w:rPr>
        <w:t>。</w:t>
      </w:r>
    </w:p>
    <w:p w14:paraId="22F9EE53" w14:textId="26CA3EE7" w:rsidR="005F62CF" w:rsidRPr="00CD31A2" w:rsidRDefault="005F62CF" w:rsidP="00CD31A2">
      <w:pPr>
        <w:ind w:firstLine="640"/>
      </w:pPr>
      <w:r w:rsidRPr="00CD31A2">
        <w:rPr>
          <w:rFonts w:hint="eastAsia"/>
        </w:rPr>
        <w:t>为有效提升资产支持证券定期报告披露质量，</w:t>
      </w:r>
      <w:r w:rsidR="00CD31A2">
        <w:rPr>
          <w:rFonts w:hint="eastAsia"/>
        </w:rPr>
        <w:t>强化</w:t>
      </w:r>
      <w:r w:rsidRPr="0028764C">
        <w:rPr>
          <w:rFonts w:hint="eastAsia"/>
        </w:rPr>
        <w:t>存续期自律监管和风险</w:t>
      </w:r>
      <w:r w:rsidR="00CD31A2">
        <w:rPr>
          <w:rFonts w:hint="eastAsia"/>
        </w:rPr>
        <w:t>管理</w:t>
      </w:r>
      <w:r w:rsidRPr="0028764C">
        <w:rPr>
          <w:rFonts w:hint="eastAsia"/>
        </w:rPr>
        <w:t>，中证</w:t>
      </w:r>
      <w:r w:rsidR="00CD31A2">
        <w:rPr>
          <w:rFonts w:hint="eastAsia"/>
        </w:rPr>
        <w:t>机构间报价系统股份有限公司</w:t>
      </w:r>
      <w:r w:rsidRPr="0028764C">
        <w:t>起草</w:t>
      </w:r>
      <w:r w:rsidRPr="0028764C">
        <w:rPr>
          <w:rFonts w:hint="eastAsia"/>
        </w:rPr>
        <w:t>了《机构间私募产品报价与服务系统资产支持证券定期报告内容与格式指引</w:t>
      </w:r>
      <w:r w:rsidRPr="00CD31A2">
        <w:t>（征求意见稿）</w:t>
      </w:r>
      <w:r w:rsidRPr="00CD31A2">
        <w:rPr>
          <w:rFonts w:hint="eastAsia"/>
        </w:rPr>
        <w:t>》（以下简称《指引》），以进一步提升市场主体的信息披露</w:t>
      </w:r>
      <w:r w:rsidRPr="00CD31A2">
        <w:t>规范意识，</w:t>
      </w:r>
      <w:r w:rsidRPr="00CD31A2">
        <w:rPr>
          <w:rFonts w:hint="eastAsia"/>
        </w:rPr>
        <w:t>督促信息披露</w:t>
      </w:r>
      <w:r w:rsidRPr="00CD31A2">
        <w:rPr>
          <w:rFonts w:hint="eastAsia"/>
        </w:rPr>
        <w:lastRenderedPageBreak/>
        <w:t>义务人尽职履责，提高定期报告披露的针对性和有效性，</w:t>
      </w:r>
      <w:r w:rsidR="006F6187" w:rsidRPr="00495293">
        <w:rPr>
          <w:sz w:val="30"/>
          <w:szCs w:val="30"/>
        </w:rPr>
        <w:t>不断</w:t>
      </w:r>
      <w:r w:rsidR="006F6187" w:rsidRPr="00495293">
        <w:rPr>
          <w:rFonts w:hint="eastAsia"/>
          <w:sz w:val="30"/>
          <w:szCs w:val="30"/>
        </w:rPr>
        <w:t>深化</w:t>
      </w:r>
      <w:r w:rsidR="006F6187" w:rsidRPr="00495293">
        <w:rPr>
          <w:sz w:val="30"/>
          <w:szCs w:val="30"/>
        </w:rPr>
        <w:t>交易场所一线监管及风险</w:t>
      </w:r>
      <w:r w:rsidR="006F6187">
        <w:rPr>
          <w:rFonts w:hint="eastAsia"/>
          <w:sz w:val="30"/>
          <w:szCs w:val="30"/>
        </w:rPr>
        <w:t>管理</w:t>
      </w:r>
      <w:r w:rsidR="006F6187" w:rsidRPr="00495293">
        <w:rPr>
          <w:sz w:val="30"/>
          <w:szCs w:val="30"/>
        </w:rPr>
        <w:t>工作</w:t>
      </w:r>
      <w:r w:rsidRPr="00CD31A2">
        <w:t>，</w:t>
      </w:r>
      <w:r w:rsidRPr="00CD31A2">
        <w:rPr>
          <w:rFonts w:hint="eastAsia"/>
        </w:rPr>
        <w:t>切实保护投资者合法权益。</w:t>
      </w:r>
    </w:p>
    <w:p w14:paraId="6938A71D" w14:textId="77777777" w:rsidR="005F62CF" w:rsidRPr="00C961EA" w:rsidRDefault="005F62CF" w:rsidP="00CD31A2">
      <w:pPr>
        <w:ind w:firstLine="640"/>
        <w:rPr>
          <w:rFonts w:ascii="黑体" w:eastAsia="黑体" w:hAnsi="黑体"/>
        </w:rPr>
      </w:pPr>
      <w:r w:rsidRPr="00C961EA">
        <w:rPr>
          <w:rFonts w:ascii="黑体" w:eastAsia="黑体" w:hAnsi="黑体" w:hint="eastAsia"/>
        </w:rPr>
        <w:t>二、《指引》的主要特点</w:t>
      </w:r>
    </w:p>
    <w:p w14:paraId="3D6FEFE2" w14:textId="77777777" w:rsidR="005F62CF" w:rsidRPr="00CD31A2" w:rsidRDefault="005F62CF" w:rsidP="00CD31A2">
      <w:pPr>
        <w:ind w:firstLine="640"/>
      </w:pPr>
      <w:r w:rsidRPr="00CD31A2">
        <w:rPr>
          <w:rFonts w:hint="eastAsia"/>
        </w:rPr>
        <w:t>《指引》主要内容是在总结近几年资产证券化业务的监管实践，充分吸收有关单位及市场机构相关建议的基础上形成的，体现了“以</w:t>
      </w:r>
      <w:r w:rsidRPr="00CD31A2">
        <w:t>问题和</w:t>
      </w:r>
      <w:r w:rsidRPr="00CD31A2">
        <w:rPr>
          <w:rFonts w:hint="eastAsia"/>
        </w:rPr>
        <w:t>风险为导向，促进市场健康有序发展”的总体原则。在主要内容上体现了几个特点：</w:t>
      </w:r>
    </w:p>
    <w:p w14:paraId="0A527D9B" w14:textId="565B0AFF" w:rsidR="005F62CF" w:rsidRPr="00CD31A2" w:rsidRDefault="005F62CF" w:rsidP="00CD31A2">
      <w:pPr>
        <w:spacing w:line="600" w:lineRule="exact"/>
        <w:ind w:firstLine="640"/>
      </w:pPr>
      <w:r w:rsidRPr="00CD31A2">
        <w:rPr>
          <w:rFonts w:hint="eastAsia"/>
        </w:rPr>
        <w:t>一是注重</w:t>
      </w:r>
      <w:r w:rsidRPr="00CD31A2">
        <w:rPr>
          <w:rFonts w:ascii="仿宋_GB2312" w:hAnsi="仿宋"/>
          <w:color w:val="000000"/>
        </w:rPr>
        <w:t>与现有</w:t>
      </w:r>
      <w:r w:rsidRPr="00CD31A2">
        <w:rPr>
          <w:rFonts w:hint="eastAsia"/>
        </w:rPr>
        <w:t>资产支持证券信息披露</w:t>
      </w:r>
      <w:r w:rsidRPr="00CD31A2">
        <w:rPr>
          <w:rFonts w:ascii="仿宋_GB2312" w:hAnsi="仿宋" w:hint="eastAsia"/>
          <w:color w:val="000000"/>
        </w:rPr>
        <w:t>制度</w:t>
      </w:r>
      <w:r w:rsidRPr="00CD31A2">
        <w:rPr>
          <w:rFonts w:ascii="仿宋_GB2312" w:hAnsi="仿宋"/>
          <w:color w:val="000000"/>
        </w:rPr>
        <w:t>总体</w:t>
      </w:r>
      <w:r w:rsidRPr="00CD31A2">
        <w:rPr>
          <w:rFonts w:ascii="仿宋_GB2312" w:hAnsi="仿宋" w:hint="eastAsia"/>
          <w:color w:val="000000"/>
        </w:rPr>
        <w:t>要求保持一致，</w:t>
      </w:r>
      <w:r w:rsidR="006F6187">
        <w:rPr>
          <w:rFonts w:hint="eastAsia"/>
          <w:sz w:val="30"/>
          <w:szCs w:val="30"/>
        </w:rPr>
        <w:t>定期报告与</w:t>
      </w:r>
      <w:r w:rsidR="006F6187" w:rsidRPr="00495293">
        <w:rPr>
          <w:rFonts w:hint="eastAsia"/>
          <w:sz w:val="30"/>
          <w:szCs w:val="30"/>
        </w:rPr>
        <w:t>资产支持证券挂牌条件确认</w:t>
      </w:r>
      <w:r w:rsidRPr="00CD31A2">
        <w:rPr>
          <w:rFonts w:hint="eastAsia"/>
        </w:rPr>
        <w:t>、发行、备案等各环节信息披露保持有机衔接。</w:t>
      </w:r>
    </w:p>
    <w:p w14:paraId="19A9683F" w14:textId="4A614E0F" w:rsidR="005F62CF" w:rsidRPr="00CD31A2" w:rsidRDefault="005F62CF" w:rsidP="00CD31A2">
      <w:pPr>
        <w:ind w:firstLine="640"/>
      </w:pPr>
      <w:r w:rsidRPr="00CD31A2">
        <w:rPr>
          <w:rFonts w:hint="eastAsia"/>
        </w:rPr>
        <w:t>二是聚焦和突出重点。根据披露事项的重要程度，充实细化了重要事项的披露要求，精简合并了部分其他事项，披露内容更加详略得当，披露格式更加优化完善，</w:t>
      </w:r>
      <w:r w:rsidR="006F6187" w:rsidRPr="00495293">
        <w:rPr>
          <w:rFonts w:hint="eastAsia"/>
          <w:sz w:val="30"/>
          <w:szCs w:val="30"/>
        </w:rPr>
        <w:t>方便</w:t>
      </w:r>
      <w:r w:rsidR="006F6187">
        <w:rPr>
          <w:rFonts w:hint="eastAsia"/>
          <w:sz w:val="30"/>
          <w:szCs w:val="30"/>
        </w:rPr>
        <w:t>信息披露</w:t>
      </w:r>
      <w:r w:rsidR="006F6187" w:rsidRPr="00495293">
        <w:rPr>
          <w:rFonts w:hint="eastAsia"/>
          <w:sz w:val="30"/>
          <w:szCs w:val="30"/>
        </w:rPr>
        <w:t>义务人编制</w:t>
      </w:r>
      <w:r w:rsidR="006F6187">
        <w:rPr>
          <w:rFonts w:hint="eastAsia"/>
          <w:sz w:val="30"/>
          <w:szCs w:val="30"/>
        </w:rPr>
        <w:t>定期报告的同时更方便</w:t>
      </w:r>
      <w:r w:rsidR="006F6187" w:rsidRPr="00495293">
        <w:rPr>
          <w:rFonts w:hint="eastAsia"/>
          <w:sz w:val="30"/>
          <w:szCs w:val="30"/>
        </w:rPr>
        <w:t>投资者</w:t>
      </w:r>
      <w:r w:rsidR="006F6187">
        <w:rPr>
          <w:rFonts w:hint="eastAsia"/>
          <w:sz w:val="30"/>
          <w:szCs w:val="30"/>
        </w:rPr>
        <w:t>投资决策参考</w:t>
      </w:r>
      <w:r w:rsidRPr="00CD31A2">
        <w:rPr>
          <w:rFonts w:hint="eastAsia"/>
        </w:rPr>
        <w:t>。</w:t>
      </w:r>
    </w:p>
    <w:p w14:paraId="1310F090" w14:textId="6A10948D" w:rsidR="005F62CF" w:rsidRPr="006C6405" w:rsidRDefault="005F62CF" w:rsidP="00CD31A2">
      <w:pPr>
        <w:ind w:firstLine="640"/>
        <w:rPr>
          <w:szCs w:val="32"/>
        </w:rPr>
      </w:pPr>
      <w:r w:rsidRPr="006C6405">
        <w:rPr>
          <w:rFonts w:hint="eastAsia"/>
          <w:szCs w:val="32"/>
        </w:rPr>
        <w:t>三是问题导向，注重实效。《指引》针对实践中存在的突出问题，充实了定期报告披露内容，明确了披露指标和方法，提升了报告规范性和披露可操作性，</w:t>
      </w:r>
      <w:r w:rsidR="006F6187" w:rsidRPr="006C6405">
        <w:rPr>
          <w:rFonts w:hint="eastAsia"/>
          <w:szCs w:val="32"/>
        </w:rPr>
        <w:t>对可能影响资产支持证券收益分配或损害投资者合法权益的相关事项强化了披露要求</w:t>
      </w:r>
      <w:r w:rsidRPr="006C6405">
        <w:rPr>
          <w:rFonts w:hint="eastAsia"/>
          <w:szCs w:val="32"/>
        </w:rPr>
        <w:t>，充分发挥定期报告的风险揭示作用，切实提高定期报告的有效性。</w:t>
      </w:r>
    </w:p>
    <w:p w14:paraId="0BE97638" w14:textId="77777777" w:rsidR="005F62CF" w:rsidRPr="00CD31A2" w:rsidRDefault="005F62CF" w:rsidP="00CD31A2">
      <w:pPr>
        <w:ind w:firstLine="640"/>
      </w:pPr>
      <w:r w:rsidRPr="00CD31A2">
        <w:rPr>
          <w:rFonts w:hint="eastAsia"/>
        </w:rPr>
        <w:t>四是</w:t>
      </w:r>
      <w:r w:rsidRPr="00CD31A2">
        <w:rPr>
          <w:rFonts w:ascii="仿宋_GB2312" w:hAnsi="仿宋" w:hint="eastAsia"/>
        </w:rPr>
        <w:t>明确信息披露责任。《指引》落实了</w:t>
      </w:r>
      <w:r w:rsidRPr="00CD31A2">
        <w:rPr>
          <w:rFonts w:hint="eastAsia"/>
        </w:rPr>
        <w:t>专项计划管理人和托管人的信息披露主体责任。为确保信息披露内容的真实</w:t>
      </w:r>
      <w:r w:rsidRPr="00CD31A2">
        <w:rPr>
          <w:rFonts w:hint="eastAsia"/>
        </w:rPr>
        <w:lastRenderedPageBreak/>
        <w:t>性和准确性，管理人还负有督促其他参与机构尽职履责，对其他参与机构提供的信息进行复核确认等义务，以增强披露内容的可靠性。</w:t>
      </w:r>
    </w:p>
    <w:p w14:paraId="1668F4C6" w14:textId="77777777" w:rsidR="005F62CF" w:rsidRPr="00C961EA" w:rsidRDefault="005F62CF" w:rsidP="00CD31A2">
      <w:pPr>
        <w:ind w:firstLine="640"/>
        <w:rPr>
          <w:rFonts w:ascii="黑体" w:eastAsia="黑体" w:hAnsi="黑体"/>
        </w:rPr>
      </w:pPr>
      <w:r w:rsidRPr="00C961EA">
        <w:rPr>
          <w:rFonts w:ascii="黑体" w:eastAsia="黑体" w:hAnsi="黑体" w:hint="eastAsia"/>
        </w:rPr>
        <w:t>三、《指引》的主要内容</w:t>
      </w:r>
    </w:p>
    <w:p w14:paraId="53830CC5" w14:textId="03D8909B" w:rsidR="005F62CF" w:rsidRPr="00CD31A2" w:rsidRDefault="005F62CF" w:rsidP="00CD31A2">
      <w:pPr>
        <w:ind w:firstLine="640"/>
      </w:pPr>
      <w:r w:rsidRPr="00CD31A2">
        <w:rPr>
          <w:rFonts w:hint="eastAsia"/>
        </w:rPr>
        <w:t>《指引》包括总则、年度资产管理报告内容与格式、</w:t>
      </w:r>
      <w:r w:rsidR="006F6187" w:rsidRPr="00495293">
        <w:rPr>
          <w:rFonts w:hint="eastAsia"/>
          <w:sz w:val="30"/>
          <w:szCs w:val="30"/>
        </w:rPr>
        <w:t>年度</w:t>
      </w:r>
      <w:r w:rsidR="006F6187">
        <w:rPr>
          <w:rFonts w:hint="eastAsia"/>
          <w:sz w:val="30"/>
          <w:szCs w:val="30"/>
        </w:rPr>
        <w:t>资产</w:t>
      </w:r>
      <w:r w:rsidR="006F6187" w:rsidRPr="00495293">
        <w:rPr>
          <w:rFonts w:hint="eastAsia"/>
          <w:sz w:val="30"/>
          <w:szCs w:val="30"/>
        </w:rPr>
        <w:t>托管报告内容与格式以及附则四章</w:t>
      </w:r>
      <w:r w:rsidRPr="00CD31A2">
        <w:rPr>
          <w:rFonts w:hint="eastAsia"/>
        </w:rPr>
        <w:t>。</w:t>
      </w:r>
    </w:p>
    <w:p w14:paraId="658DCE49" w14:textId="77777777" w:rsidR="005F62CF" w:rsidRPr="00C961EA" w:rsidRDefault="005F62CF" w:rsidP="00CD31A2">
      <w:pPr>
        <w:pStyle w:val="a4"/>
        <w:spacing w:before="0" w:after="0"/>
        <w:ind w:firstLine="640"/>
        <w:jc w:val="left"/>
        <w:rPr>
          <w:rFonts w:ascii="楷体" w:eastAsia="楷体" w:hAnsi="楷体"/>
        </w:rPr>
      </w:pPr>
      <w:r w:rsidRPr="00C961EA">
        <w:rPr>
          <w:rFonts w:ascii="楷体" w:eastAsia="楷体" w:hAnsi="楷体" w:hint="eastAsia"/>
        </w:rPr>
        <w:t>（一）关于总则</w:t>
      </w:r>
    </w:p>
    <w:p w14:paraId="0C2FB5DE" w14:textId="77777777" w:rsidR="005F62CF" w:rsidRPr="00CD31A2" w:rsidRDefault="005F62CF" w:rsidP="00CD31A2">
      <w:pPr>
        <w:ind w:firstLine="640"/>
      </w:pPr>
      <w:r w:rsidRPr="00CD31A2">
        <w:rPr>
          <w:rFonts w:hint="eastAsia"/>
        </w:rPr>
        <w:t>第一章《</w:t>
      </w:r>
      <w:r w:rsidRPr="00CD31A2">
        <w:rPr>
          <w:rFonts w:ascii="仿宋_GB2312" w:hAnsi="仿宋" w:hint="eastAsia"/>
        </w:rPr>
        <w:t>总则</w:t>
      </w:r>
      <w:r w:rsidRPr="00CD31A2">
        <w:rPr>
          <w:rFonts w:hint="eastAsia"/>
        </w:rPr>
        <w:t>》共十一条，</w:t>
      </w:r>
      <w:r w:rsidRPr="00CD31A2">
        <w:t>明确</w:t>
      </w:r>
      <w:r w:rsidRPr="00CD31A2">
        <w:rPr>
          <w:rFonts w:hint="eastAsia"/>
        </w:rPr>
        <w:t>了《</w:t>
      </w:r>
      <w:r w:rsidRPr="00CD31A2">
        <w:t>指引</w:t>
      </w:r>
      <w:r w:rsidRPr="00CD31A2">
        <w:rPr>
          <w:rFonts w:hint="eastAsia"/>
        </w:rPr>
        <w:t>》</w:t>
      </w:r>
      <w:r w:rsidRPr="00CD31A2">
        <w:t>的规则依据、适用范围及总体要求</w:t>
      </w:r>
      <w:r w:rsidRPr="00CD31A2">
        <w:rPr>
          <w:rFonts w:hint="eastAsia"/>
        </w:rPr>
        <w:t>等。</w:t>
      </w:r>
    </w:p>
    <w:p w14:paraId="1D60B5FB" w14:textId="77777777" w:rsidR="005F62CF" w:rsidRPr="00C961EA" w:rsidRDefault="005F62CF" w:rsidP="00CD31A2">
      <w:pPr>
        <w:pStyle w:val="a4"/>
        <w:spacing w:before="0" w:after="0"/>
        <w:ind w:firstLine="640"/>
        <w:jc w:val="left"/>
        <w:rPr>
          <w:rFonts w:ascii="楷体" w:eastAsia="楷体" w:hAnsi="楷体"/>
        </w:rPr>
      </w:pPr>
      <w:r w:rsidRPr="00C961EA">
        <w:rPr>
          <w:rFonts w:ascii="楷体" w:eastAsia="楷体" w:hAnsi="楷体" w:hint="eastAsia"/>
        </w:rPr>
        <w:t>（二）关于年度资产管理报告内容与格式</w:t>
      </w:r>
    </w:p>
    <w:p w14:paraId="223217BB" w14:textId="37556463" w:rsidR="005F62CF" w:rsidRPr="00CD31A2" w:rsidRDefault="005F62CF" w:rsidP="00CD31A2">
      <w:pPr>
        <w:ind w:firstLine="640"/>
      </w:pPr>
      <w:r w:rsidRPr="00CD31A2">
        <w:rPr>
          <w:rFonts w:hint="eastAsia"/>
        </w:rPr>
        <w:t>第二章《年度资产管理报告内容与格式》</w:t>
      </w:r>
      <w:r w:rsidR="006F6187" w:rsidRPr="00495293">
        <w:rPr>
          <w:rFonts w:hint="eastAsia"/>
          <w:sz w:val="30"/>
          <w:szCs w:val="30"/>
        </w:rPr>
        <w:t>共</w:t>
      </w:r>
      <w:r w:rsidR="006F6187">
        <w:rPr>
          <w:rFonts w:hint="eastAsia"/>
          <w:sz w:val="30"/>
          <w:szCs w:val="30"/>
        </w:rPr>
        <w:t>八</w:t>
      </w:r>
      <w:r w:rsidR="006F6187" w:rsidRPr="00495293">
        <w:rPr>
          <w:rFonts w:hint="eastAsia"/>
          <w:sz w:val="30"/>
          <w:szCs w:val="30"/>
        </w:rPr>
        <w:t>节三十</w:t>
      </w:r>
      <w:r w:rsidR="006F6187">
        <w:rPr>
          <w:rFonts w:hint="eastAsia"/>
          <w:sz w:val="30"/>
          <w:szCs w:val="30"/>
        </w:rPr>
        <w:t>八</w:t>
      </w:r>
      <w:r w:rsidR="006F6187" w:rsidRPr="00495293">
        <w:rPr>
          <w:rFonts w:hint="eastAsia"/>
          <w:sz w:val="30"/>
          <w:szCs w:val="30"/>
        </w:rPr>
        <w:t>条</w:t>
      </w:r>
      <w:r w:rsidRPr="00CD31A2">
        <w:rPr>
          <w:rFonts w:hint="eastAsia"/>
        </w:rPr>
        <w:t>，按照封面、扉页、正文到附件的编制顺序，规定了年度资产管理报告的内容、格式和编制要求，并对以下几方面重点内容细化了披露要求：</w:t>
      </w:r>
    </w:p>
    <w:p w14:paraId="76C52797" w14:textId="35A239A0" w:rsidR="005F62CF" w:rsidRPr="006C6405" w:rsidRDefault="005F62CF" w:rsidP="00CD31A2">
      <w:pPr>
        <w:ind w:firstLine="640"/>
        <w:rPr>
          <w:szCs w:val="32"/>
        </w:rPr>
      </w:pPr>
      <w:r w:rsidRPr="006C6405">
        <w:rPr>
          <w:szCs w:val="32"/>
        </w:rPr>
        <w:t>1.</w:t>
      </w:r>
      <w:r w:rsidRPr="006C6405">
        <w:rPr>
          <w:rFonts w:hint="eastAsia"/>
          <w:szCs w:val="32"/>
        </w:rPr>
        <w:t>基础资产（池）的情况。</w:t>
      </w:r>
      <w:r w:rsidR="006F6187" w:rsidRPr="006C6405">
        <w:rPr>
          <w:rFonts w:hint="eastAsia"/>
          <w:szCs w:val="32"/>
        </w:rPr>
        <w:t>对基础资产（池）披露内容进行了细化</w:t>
      </w:r>
      <w:r w:rsidRPr="006C6405">
        <w:rPr>
          <w:rFonts w:hint="eastAsia"/>
          <w:szCs w:val="32"/>
        </w:rPr>
        <w:t>，按照债权类、运营收益类、</w:t>
      </w:r>
      <w:r w:rsidR="006F6187" w:rsidRPr="006C6405">
        <w:rPr>
          <w:rFonts w:hint="eastAsia"/>
          <w:szCs w:val="32"/>
        </w:rPr>
        <w:t>不动产及其权利类和其他类共计四大类基础资产提出分类披露要求</w:t>
      </w:r>
      <w:r w:rsidRPr="006C6405">
        <w:rPr>
          <w:rFonts w:hint="eastAsia"/>
          <w:szCs w:val="32"/>
        </w:rPr>
        <w:t>。</w:t>
      </w:r>
    </w:p>
    <w:p w14:paraId="048CB0B7" w14:textId="2E3999AE" w:rsidR="005F62CF" w:rsidRPr="00CD31A2" w:rsidRDefault="005F62CF" w:rsidP="00CD31A2">
      <w:pPr>
        <w:ind w:firstLine="640"/>
      </w:pPr>
      <w:r w:rsidRPr="00CD31A2">
        <w:t xml:space="preserve">2. </w:t>
      </w:r>
      <w:r w:rsidRPr="00CD31A2">
        <w:rPr>
          <w:rFonts w:hint="eastAsia"/>
        </w:rPr>
        <w:t>现金流管理情况。重点要求管理人披露基础资产现金流归集路径中各账户归集、</w:t>
      </w:r>
      <w:r w:rsidR="006F6187" w:rsidRPr="00495293">
        <w:rPr>
          <w:rFonts w:hint="eastAsia"/>
          <w:sz w:val="30"/>
          <w:szCs w:val="30"/>
        </w:rPr>
        <w:t>划转资金的时间</w:t>
      </w:r>
      <w:r w:rsidRPr="00CD31A2">
        <w:rPr>
          <w:rFonts w:hint="eastAsia"/>
        </w:rPr>
        <w:t>、金额情况，并说明资金归集、划转、使用是否符合相关规定或协议约定，是否存在滞留、截留、挪用等情况。</w:t>
      </w:r>
    </w:p>
    <w:p w14:paraId="2463FC7A" w14:textId="4CC77412" w:rsidR="005F62CF" w:rsidRPr="00CD31A2" w:rsidRDefault="005F62CF" w:rsidP="00CD31A2">
      <w:pPr>
        <w:ind w:firstLine="640"/>
      </w:pPr>
      <w:r w:rsidRPr="00CD31A2">
        <w:t xml:space="preserve">3. </w:t>
      </w:r>
      <w:r w:rsidRPr="00CD31A2">
        <w:rPr>
          <w:rFonts w:hint="eastAsia"/>
        </w:rPr>
        <w:t>增信措施情况及其执行情况。</w:t>
      </w:r>
      <w:r w:rsidR="006F6187" w:rsidRPr="00495293">
        <w:rPr>
          <w:rFonts w:hint="eastAsia"/>
          <w:sz w:val="30"/>
          <w:szCs w:val="30"/>
        </w:rPr>
        <w:t>明确要求管理人应披露增信措施的变化与执行情况</w:t>
      </w:r>
      <w:r w:rsidRPr="00CD31A2">
        <w:rPr>
          <w:rFonts w:hint="eastAsia"/>
        </w:rPr>
        <w:t>，并按不同增信主体类型披露其资信情况等内容。</w:t>
      </w:r>
    </w:p>
    <w:p w14:paraId="2AD99D4D" w14:textId="71FAA0AE" w:rsidR="005F62CF" w:rsidRPr="00C961EA" w:rsidRDefault="005F62CF" w:rsidP="00CD31A2">
      <w:pPr>
        <w:pStyle w:val="a4"/>
        <w:spacing w:before="0" w:after="0"/>
        <w:ind w:firstLine="640"/>
        <w:jc w:val="left"/>
        <w:rPr>
          <w:rFonts w:ascii="楷体" w:eastAsia="楷体" w:hAnsi="楷体"/>
        </w:rPr>
      </w:pPr>
      <w:r w:rsidRPr="00C961EA">
        <w:rPr>
          <w:rFonts w:ascii="楷体" w:eastAsia="楷体" w:hAnsi="楷体" w:hint="eastAsia"/>
        </w:rPr>
        <w:lastRenderedPageBreak/>
        <w:t>（三）</w:t>
      </w:r>
      <w:r w:rsidR="006F6187" w:rsidRPr="00C961EA">
        <w:rPr>
          <w:rFonts w:ascii="楷体" w:eastAsia="楷体" w:hAnsi="楷体" w:hint="eastAsia"/>
        </w:rPr>
        <w:t>关于年度资产托管报告内容与格式</w:t>
      </w:r>
    </w:p>
    <w:p w14:paraId="797469A9" w14:textId="1EFBC58B" w:rsidR="005F62CF" w:rsidRPr="00CD31A2" w:rsidRDefault="005F62CF" w:rsidP="00CD31A2">
      <w:pPr>
        <w:ind w:firstLine="640"/>
      </w:pPr>
      <w:r w:rsidRPr="00CD31A2">
        <w:rPr>
          <w:rFonts w:hint="eastAsia"/>
        </w:rPr>
        <w:t>第三章《</w:t>
      </w:r>
      <w:r w:rsidR="006F6187" w:rsidRPr="00495293">
        <w:rPr>
          <w:rFonts w:hint="eastAsia"/>
          <w:sz w:val="30"/>
          <w:szCs w:val="30"/>
        </w:rPr>
        <w:t>年度</w:t>
      </w:r>
      <w:r w:rsidR="006F6187">
        <w:rPr>
          <w:rFonts w:hint="eastAsia"/>
          <w:sz w:val="30"/>
          <w:szCs w:val="30"/>
        </w:rPr>
        <w:t>资产</w:t>
      </w:r>
      <w:r w:rsidR="006F6187" w:rsidRPr="00495293">
        <w:rPr>
          <w:rFonts w:hint="eastAsia"/>
          <w:sz w:val="30"/>
          <w:szCs w:val="30"/>
        </w:rPr>
        <w:t>托管报告内容与格式</w:t>
      </w:r>
      <w:r w:rsidRPr="00CD31A2">
        <w:rPr>
          <w:rFonts w:hint="eastAsia"/>
        </w:rPr>
        <w:t>》共九条，按照封面、扉页、正文到附件的编制顺序，规定了年度托管报告的内容、格式和编制要求。</w:t>
      </w:r>
    </w:p>
    <w:p w14:paraId="02067EAC" w14:textId="77777777" w:rsidR="005F62CF" w:rsidRPr="00CD31A2" w:rsidRDefault="005F62CF" w:rsidP="00CD31A2">
      <w:pPr>
        <w:pStyle w:val="a4"/>
        <w:spacing w:before="0" w:after="0"/>
        <w:ind w:firstLine="640"/>
        <w:jc w:val="left"/>
        <w:rPr>
          <w:rFonts w:ascii="楷体" w:hAnsi="楷体"/>
        </w:rPr>
      </w:pPr>
      <w:r w:rsidRPr="00CD31A2">
        <w:rPr>
          <w:rFonts w:ascii="楷体" w:hAnsi="楷体" w:hint="eastAsia"/>
        </w:rPr>
        <w:t>（四）关于附则</w:t>
      </w:r>
    </w:p>
    <w:p w14:paraId="0BC59605" w14:textId="60868BA3" w:rsidR="005F62CF" w:rsidRPr="00CD31A2" w:rsidRDefault="005F62CF" w:rsidP="00CD31A2">
      <w:pPr>
        <w:ind w:firstLine="640"/>
      </w:pPr>
      <w:r w:rsidRPr="00CD31A2">
        <w:rPr>
          <w:rFonts w:hint="eastAsia"/>
        </w:rPr>
        <w:t>第四章《附则</w:t>
      </w:r>
      <w:bookmarkStart w:id="0" w:name="_GoBack"/>
      <w:bookmarkEnd w:id="0"/>
      <w:r w:rsidRPr="00CD31A2">
        <w:rPr>
          <w:rFonts w:hint="eastAsia"/>
        </w:rPr>
        <w:t>》共六条，包括释义、</w:t>
      </w:r>
      <w:r w:rsidR="006F6187" w:rsidRPr="00495293">
        <w:rPr>
          <w:rFonts w:hint="eastAsia"/>
          <w:sz w:val="30"/>
          <w:szCs w:val="30"/>
        </w:rPr>
        <w:t>生效时间等</w:t>
      </w:r>
      <w:r w:rsidRPr="00CD31A2">
        <w:rPr>
          <w:rFonts w:hint="eastAsia"/>
        </w:rPr>
        <w:t>。</w:t>
      </w:r>
    </w:p>
    <w:sectPr w:rsidR="005F62CF" w:rsidRPr="00CD31A2" w:rsidSect="005543E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fmt="numberInDash"/>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F7D1A" w14:textId="77777777" w:rsidR="00902445" w:rsidRDefault="00902445" w:rsidP="00CD31A2">
      <w:pPr>
        <w:spacing w:line="240" w:lineRule="auto"/>
        <w:ind w:firstLine="640"/>
      </w:pPr>
      <w:r>
        <w:separator/>
      </w:r>
    </w:p>
  </w:endnote>
  <w:endnote w:type="continuationSeparator" w:id="0">
    <w:p w14:paraId="03E9D721" w14:textId="77777777" w:rsidR="00902445" w:rsidRDefault="00902445" w:rsidP="00CD31A2">
      <w:pPr>
        <w:spacing w:line="240" w:lineRule="auto"/>
        <w:ind w:firstLine="640"/>
      </w:pPr>
      <w:r>
        <w:continuationSeparator/>
      </w:r>
    </w:p>
  </w:endnote>
  <w:endnote w:type="continuationNotice" w:id="1">
    <w:p w14:paraId="2CD3787E" w14:textId="77777777" w:rsidR="00902445" w:rsidRDefault="00902445" w:rsidP="00CD31A2">
      <w:pPr>
        <w:spacing w:line="240" w:lineRule="auto"/>
        <w:ind w:firstLine="6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A00002EF" w:usb1="4000207B"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9950247"/>
      <w:docPartObj>
        <w:docPartGallery w:val="Page Numbers (Bottom of Page)"/>
        <w:docPartUnique/>
      </w:docPartObj>
    </w:sdtPr>
    <w:sdtEndPr>
      <w:rPr>
        <w:rFonts w:asciiTheme="majorEastAsia" w:eastAsiaTheme="majorEastAsia" w:hAnsiTheme="majorEastAsia"/>
        <w:sz w:val="28"/>
        <w:szCs w:val="28"/>
      </w:rPr>
    </w:sdtEndPr>
    <w:sdtContent>
      <w:p w14:paraId="7BF84F6F" w14:textId="716E2E10" w:rsidR="005543E4" w:rsidRPr="005543E4" w:rsidRDefault="005543E4">
        <w:pPr>
          <w:pStyle w:val="a6"/>
          <w:ind w:left="1280"/>
          <w:rPr>
            <w:rFonts w:asciiTheme="majorEastAsia" w:eastAsiaTheme="majorEastAsia" w:hAnsiTheme="majorEastAsia"/>
            <w:sz w:val="28"/>
            <w:szCs w:val="28"/>
          </w:rPr>
        </w:pPr>
        <w:r w:rsidRPr="005543E4">
          <w:rPr>
            <w:rFonts w:asciiTheme="majorEastAsia" w:eastAsiaTheme="majorEastAsia" w:hAnsiTheme="majorEastAsia"/>
            <w:sz w:val="28"/>
            <w:szCs w:val="28"/>
          </w:rPr>
          <w:fldChar w:fldCharType="begin"/>
        </w:r>
        <w:r w:rsidRPr="005543E4">
          <w:rPr>
            <w:rFonts w:asciiTheme="majorEastAsia" w:eastAsiaTheme="majorEastAsia" w:hAnsiTheme="majorEastAsia"/>
            <w:sz w:val="28"/>
            <w:szCs w:val="28"/>
          </w:rPr>
          <w:instrText>PAGE   \* MERGEFORMAT</w:instrText>
        </w:r>
        <w:r w:rsidRPr="005543E4">
          <w:rPr>
            <w:rFonts w:asciiTheme="majorEastAsia" w:eastAsiaTheme="majorEastAsia" w:hAnsiTheme="majorEastAsia"/>
            <w:sz w:val="28"/>
            <w:szCs w:val="28"/>
          </w:rPr>
          <w:fldChar w:fldCharType="separate"/>
        </w:r>
        <w:r w:rsidR="006C6405" w:rsidRPr="006C6405">
          <w:rPr>
            <w:rFonts w:asciiTheme="majorEastAsia" w:eastAsiaTheme="majorEastAsia" w:hAnsiTheme="majorEastAsia"/>
            <w:noProof/>
            <w:sz w:val="28"/>
            <w:szCs w:val="28"/>
            <w:lang w:val="zh-CN" w:eastAsia="zh-CN"/>
          </w:rPr>
          <w:t>-</w:t>
        </w:r>
        <w:r w:rsidR="006C6405">
          <w:rPr>
            <w:rFonts w:asciiTheme="majorEastAsia" w:eastAsiaTheme="majorEastAsia" w:hAnsiTheme="majorEastAsia"/>
            <w:noProof/>
            <w:sz w:val="28"/>
            <w:szCs w:val="28"/>
          </w:rPr>
          <w:t xml:space="preserve"> 4 -</w:t>
        </w:r>
        <w:r w:rsidRPr="005543E4">
          <w:rPr>
            <w:rFonts w:asciiTheme="majorEastAsia" w:eastAsiaTheme="majorEastAsia" w:hAnsiTheme="maj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783679"/>
      <w:docPartObj>
        <w:docPartGallery w:val="Page Numbers (Bottom of Page)"/>
        <w:docPartUnique/>
      </w:docPartObj>
    </w:sdtPr>
    <w:sdtEndPr>
      <w:rPr>
        <w:rFonts w:asciiTheme="majorEastAsia" w:eastAsiaTheme="majorEastAsia" w:hAnsiTheme="majorEastAsia"/>
        <w:sz w:val="28"/>
        <w:szCs w:val="28"/>
      </w:rPr>
    </w:sdtEndPr>
    <w:sdtContent>
      <w:p w14:paraId="268B9BB8" w14:textId="7300F935" w:rsidR="005543E4" w:rsidRPr="005543E4" w:rsidRDefault="005543E4">
        <w:pPr>
          <w:pStyle w:val="a6"/>
          <w:ind w:left="1280"/>
          <w:jc w:val="right"/>
          <w:rPr>
            <w:rFonts w:asciiTheme="majorEastAsia" w:eastAsiaTheme="majorEastAsia" w:hAnsiTheme="majorEastAsia"/>
            <w:sz w:val="28"/>
            <w:szCs w:val="28"/>
          </w:rPr>
        </w:pPr>
        <w:r w:rsidRPr="005543E4">
          <w:rPr>
            <w:rFonts w:asciiTheme="majorEastAsia" w:eastAsiaTheme="majorEastAsia" w:hAnsiTheme="majorEastAsia"/>
            <w:sz w:val="28"/>
            <w:szCs w:val="28"/>
          </w:rPr>
          <w:fldChar w:fldCharType="begin"/>
        </w:r>
        <w:r w:rsidRPr="005543E4">
          <w:rPr>
            <w:rFonts w:asciiTheme="majorEastAsia" w:eastAsiaTheme="majorEastAsia" w:hAnsiTheme="majorEastAsia"/>
            <w:sz w:val="28"/>
            <w:szCs w:val="28"/>
          </w:rPr>
          <w:instrText>PAGE   \* MERGEFORMAT</w:instrText>
        </w:r>
        <w:r w:rsidRPr="005543E4">
          <w:rPr>
            <w:rFonts w:asciiTheme="majorEastAsia" w:eastAsiaTheme="majorEastAsia" w:hAnsiTheme="majorEastAsia"/>
            <w:sz w:val="28"/>
            <w:szCs w:val="28"/>
          </w:rPr>
          <w:fldChar w:fldCharType="separate"/>
        </w:r>
        <w:r w:rsidR="006C6405" w:rsidRPr="006C6405">
          <w:rPr>
            <w:rFonts w:asciiTheme="majorEastAsia" w:eastAsiaTheme="majorEastAsia" w:hAnsiTheme="majorEastAsia"/>
            <w:noProof/>
            <w:sz w:val="28"/>
            <w:szCs w:val="28"/>
            <w:lang w:val="zh-CN" w:eastAsia="zh-CN"/>
          </w:rPr>
          <w:t>-</w:t>
        </w:r>
        <w:r w:rsidR="006C6405">
          <w:rPr>
            <w:rFonts w:asciiTheme="majorEastAsia" w:eastAsiaTheme="majorEastAsia" w:hAnsiTheme="majorEastAsia"/>
            <w:noProof/>
            <w:sz w:val="28"/>
            <w:szCs w:val="28"/>
          </w:rPr>
          <w:t xml:space="preserve"> 3 -</w:t>
        </w:r>
        <w:r w:rsidRPr="005543E4">
          <w:rPr>
            <w:rFonts w:asciiTheme="majorEastAsia" w:eastAsiaTheme="majorEastAsia" w:hAnsiTheme="maj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14964" w14:textId="77777777" w:rsidR="00FB7482" w:rsidRDefault="00FB748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BE497" w14:textId="77777777" w:rsidR="00902445" w:rsidRDefault="00902445" w:rsidP="00CD31A2">
      <w:pPr>
        <w:spacing w:line="240" w:lineRule="auto"/>
        <w:ind w:firstLine="640"/>
      </w:pPr>
      <w:r>
        <w:separator/>
      </w:r>
    </w:p>
  </w:footnote>
  <w:footnote w:type="continuationSeparator" w:id="0">
    <w:p w14:paraId="58F18260" w14:textId="77777777" w:rsidR="00902445" w:rsidRDefault="00902445" w:rsidP="00CD31A2">
      <w:pPr>
        <w:spacing w:line="240" w:lineRule="auto"/>
        <w:ind w:firstLine="640"/>
      </w:pPr>
      <w:r>
        <w:continuationSeparator/>
      </w:r>
    </w:p>
  </w:footnote>
  <w:footnote w:type="continuationNotice" w:id="1">
    <w:p w14:paraId="20E14CE5" w14:textId="77777777" w:rsidR="00902445" w:rsidRDefault="00902445" w:rsidP="00CD31A2">
      <w:pPr>
        <w:spacing w:line="240" w:lineRule="auto"/>
        <w:ind w:firstLine="6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8EFCB" w14:textId="77777777" w:rsidR="00427E67" w:rsidRPr="0061735D" w:rsidRDefault="00902445" w:rsidP="00CD31A2">
    <w:pPr>
      <w:ind w:left="640" w:firstLineChars="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9FF1E" w14:textId="77777777" w:rsidR="00CD31A2" w:rsidRPr="005543E4" w:rsidRDefault="00CD31A2" w:rsidP="005543E4">
    <w:pPr>
      <w:ind w:left="64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61878" w14:textId="77777777" w:rsidR="00FB7482" w:rsidRDefault="00FB748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hybridMultilevel"/>
    <w:tmpl w:val="0B92224A"/>
    <w:lvl w:ilvl="0" w:tplc="B178B4B8">
      <w:start w:val="1"/>
      <w:numFmt w:val="chineseCountingThousand"/>
      <w:pStyle w:val="5"/>
      <w:lvlText w:val="第%1条"/>
      <w:lvlJc w:val="left"/>
      <w:pPr>
        <w:ind w:left="2831" w:hanging="420"/>
      </w:pPr>
      <w:rPr>
        <w:rFonts w:hint="eastAsia"/>
        <w:b/>
        <w:i w:val="0"/>
        <w:lang w:val="en-US"/>
      </w:rPr>
    </w:lvl>
    <w:lvl w:ilvl="1" w:tplc="04090019">
      <w:start w:val="1"/>
      <w:numFmt w:val="lowerLetter"/>
      <w:lvlText w:val="%2)"/>
      <w:lvlJc w:val="left"/>
      <w:pPr>
        <w:ind w:left="2472" w:hanging="420"/>
      </w:pPr>
    </w:lvl>
    <w:lvl w:ilvl="2" w:tplc="0409001B" w:tentative="1">
      <w:start w:val="1"/>
      <w:numFmt w:val="lowerRoman"/>
      <w:lvlText w:val="%3."/>
      <w:lvlJc w:val="right"/>
      <w:pPr>
        <w:ind w:left="2892" w:hanging="420"/>
      </w:pPr>
    </w:lvl>
    <w:lvl w:ilvl="3" w:tplc="0409000F" w:tentative="1">
      <w:start w:val="1"/>
      <w:numFmt w:val="decimal"/>
      <w:lvlText w:val="%4."/>
      <w:lvlJc w:val="left"/>
      <w:pPr>
        <w:ind w:left="3312" w:hanging="420"/>
      </w:pPr>
    </w:lvl>
    <w:lvl w:ilvl="4" w:tplc="04090019" w:tentative="1">
      <w:start w:val="1"/>
      <w:numFmt w:val="lowerLetter"/>
      <w:lvlText w:val="%5)"/>
      <w:lvlJc w:val="left"/>
      <w:pPr>
        <w:ind w:left="3732" w:hanging="420"/>
      </w:pPr>
    </w:lvl>
    <w:lvl w:ilvl="5" w:tplc="0409001B" w:tentative="1">
      <w:start w:val="1"/>
      <w:numFmt w:val="lowerRoman"/>
      <w:lvlText w:val="%6."/>
      <w:lvlJc w:val="right"/>
      <w:pPr>
        <w:ind w:left="4152" w:hanging="420"/>
      </w:pPr>
    </w:lvl>
    <w:lvl w:ilvl="6" w:tplc="0409000F" w:tentative="1">
      <w:start w:val="1"/>
      <w:numFmt w:val="decimal"/>
      <w:lvlText w:val="%7."/>
      <w:lvlJc w:val="left"/>
      <w:pPr>
        <w:ind w:left="4572" w:hanging="420"/>
      </w:pPr>
    </w:lvl>
    <w:lvl w:ilvl="7" w:tplc="04090019" w:tentative="1">
      <w:start w:val="1"/>
      <w:numFmt w:val="lowerLetter"/>
      <w:lvlText w:val="%8)"/>
      <w:lvlJc w:val="left"/>
      <w:pPr>
        <w:ind w:left="4992" w:hanging="420"/>
      </w:pPr>
    </w:lvl>
    <w:lvl w:ilvl="8" w:tplc="0409001B" w:tentative="1">
      <w:start w:val="1"/>
      <w:numFmt w:val="lowerRoman"/>
      <w:lvlText w:val="%9."/>
      <w:lvlJc w:val="right"/>
      <w:pPr>
        <w:ind w:left="5412" w:hanging="420"/>
      </w:pPr>
    </w:lvl>
  </w:abstractNum>
  <w:num w:numId="1">
    <w:abstractNumId w:val="0"/>
    <w:lvlOverride w:ilvl="0">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2"/>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2CF"/>
    <w:rsid w:val="00003BA8"/>
    <w:rsid w:val="0002043A"/>
    <w:rsid w:val="000228F3"/>
    <w:rsid w:val="00031E2D"/>
    <w:rsid w:val="00033484"/>
    <w:rsid w:val="000355A1"/>
    <w:rsid w:val="00037162"/>
    <w:rsid w:val="00042887"/>
    <w:rsid w:val="00043503"/>
    <w:rsid w:val="00043A31"/>
    <w:rsid w:val="0004706C"/>
    <w:rsid w:val="00050E05"/>
    <w:rsid w:val="00053916"/>
    <w:rsid w:val="00053923"/>
    <w:rsid w:val="00061468"/>
    <w:rsid w:val="00062B6A"/>
    <w:rsid w:val="000647B0"/>
    <w:rsid w:val="00066A07"/>
    <w:rsid w:val="00067CFF"/>
    <w:rsid w:val="00070525"/>
    <w:rsid w:val="00073EFA"/>
    <w:rsid w:val="000753AC"/>
    <w:rsid w:val="000776A4"/>
    <w:rsid w:val="000830CF"/>
    <w:rsid w:val="00091508"/>
    <w:rsid w:val="00091AB7"/>
    <w:rsid w:val="00093A7F"/>
    <w:rsid w:val="0009448D"/>
    <w:rsid w:val="000B0A64"/>
    <w:rsid w:val="000B0EFB"/>
    <w:rsid w:val="000C1A13"/>
    <w:rsid w:val="000C3F82"/>
    <w:rsid w:val="000D1722"/>
    <w:rsid w:val="000D50E7"/>
    <w:rsid w:val="000D64F5"/>
    <w:rsid w:val="000E00B6"/>
    <w:rsid w:val="000E0EC3"/>
    <w:rsid w:val="000F3A49"/>
    <w:rsid w:val="000F4114"/>
    <w:rsid w:val="00100A9F"/>
    <w:rsid w:val="00100F73"/>
    <w:rsid w:val="001048E8"/>
    <w:rsid w:val="001072FF"/>
    <w:rsid w:val="001106AA"/>
    <w:rsid w:val="0011168E"/>
    <w:rsid w:val="00114801"/>
    <w:rsid w:val="001201AF"/>
    <w:rsid w:val="00121303"/>
    <w:rsid w:val="001229DE"/>
    <w:rsid w:val="00124D56"/>
    <w:rsid w:val="00125DCB"/>
    <w:rsid w:val="00130110"/>
    <w:rsid w:val="00130869"/>
    <w:rsid w:val="00133D49"/>
    <w:rsid w:val="001347F3"/>
    <w:rsid w:val="00136069"/>
    <w:rsid w:val="001464DD"/>
    <w:rsid w:val="001578EF"/>
    <w:rsid w:val="00163084"/>
    <w:rsid w:val="0016679F"/>
    <w:rsid w:val="001704CE"/>
    <w:rsid w:val="001723E4"/>
    <w:rsid w:val="0018503A"/>
    <w:rsid w:val="00186751"/>
    <w:rsid w:val="00191CE9"/>
    <w:rsid w:val="001A32E3"/>
    <w:rsid w:val="001B0BA5"/>
    <w:rsid w:val="001B0FCB"/>
    <w:rsid w:val="001B74A6"/>
    <w:rsid w:val="001C28BC"/>
    <w:rsid w:val="001C3728"/>
    <w:rsid w:val="001C7D67"/>
    <w:rsid w:val="001D1599"/>
    <w:rsid w:val="001D1EEC"/>
    <w:rsid w:val="001D381F"/>
    <w:rsid w:val="001D3EB6"/>
    <w:rsid w:val="001D791D"/>
    <w:rsid w:val="001E2226"/>
    <w:rsid w:val="001E5535"/>
    <w:rsid w:val="001E640C"/>
    <w:rsid w:val="0020076F"/>
    <w:rsid w:val="0020205D"/>
    <w:rsid w:val="002052D8"/>
    <w:rsid w:val="0021300D"/>
    <w:rsid w:val="00214614"/>
    <w:rsid w:val="00215213"/>
    <w:rsid w:val="00215214"/>
    <w:rsid w:val="00216099"/>
    <w:rsid w:val="00224802"/>
    <w:rsid w:val="00226E5A"/>
    <w:rsid w:val="00236E2F"/>
    <w:rsid w:val="002420FE"/>
    <w:rsid w:val="0024282A"/>
    <w:rsid w:val="002432CF"/>
    <w:rsid w:val="002473F6"/>
    <w:rsid w:val="00257264"/>
    <w:rsid w:val="00261DBE"/>
    <w:rsid w:val="00262029"/>
    <w:rsid w:val="0026779B"/>
    <w:rsid w:val="002747C5"/>
    <w:rsid w:val="00274BA7"/>
    <w:rsid w:val="00275736"/>
    <w:rsid w:val="002826AA"/>
    <w:rsid w:val="00283412"/>
    <w:rsid w:val="00290580"/>
    <w:rsid w:val="00292793"/>
    <w:rsid w:val="00296747"/>
    <w:rsid w:val="002A1807"/>
    <w:rsid w:val="002A211E"/>
    <w:rsid w:val="002A369D"/>
    <w:rsid w:val="002B0593"/>
    <w:rsid w:val="002B34AB"/>
    <w:rsid w:val="002B6A04"/>
    <w:rsid w:val="002C31A5"/>
    <w:rsid w:val="002C34BD"/>
    <w:rsid w:val="002D0C4E"/>
    <w:rsid w:val="002D7AA9"/>
    <w:rsid w:val="002F69C9"/>
    <w:rsid w:val="00313CB1"/>
    <w:rsid w:val="0031534C"/>
    <w:rsid w:val="003172F0"/>
    <w:rsid w:val="003223D7"/>
    <w:rsid w:val="00327E48"/>
    <w:rsid w:val="00336473"/>
    <w:rsid w:val="00350745"/>
    <w:rsid w:val="00362415"/>
    <w:rsid w:val="00380B32"/>
    <w:rsid w:val="00387B67"/>
    <w:rsid w:val="003910BD"/>
    <w:rsid w:val="0039525D"/>
    <w:rsid w:val="0039623F"/>
    <w:rsid w:val="003B5742"/>
    <w:rsid w:val="003C6231"/>
    <w:rsid w:val="003D39E5"/>
    <w:rsid w:val="003D4E7F"/>
    <w:rsid w:val="003E5884"/>
    <w:rsid w:val="003F0B74"/>
    <w:rsid w:val="003F214F"/>
    <w:rsid w:val="003F298B"/>
    <w:rsid w:val="003F515C"/>
    <w:rsid w:val="003F5D68"/>
    <w:rsid w:val="004007E1"/>
    <w:rsid w:val="00403CC9"/>
    <w:rsid w:val="004138B8"/>
    <w:rsid w:val="00421E36"/>
    <w:rsid w:val="00422002"/>
    <w:rsid w:val="00442348"/>
    <w:rsid w:val="00446CC6"/>
    <w:rsid w:val="004561EF"/>
    <w:rsid w:val="00457959"/>
    <w:rsid w:val="004622BC"/>
    <w:rsid w:val="00464AC3"/>
    <w:rsid w:val="004840C7"/>
    <w:rsid w:val="00495293"/>
    <w:rsid w:val="004968E3"/>
    <w:rsid w:val="00497A59"/>
    <w:rsid w:val="004A7B74"/>
    <w:rsid w:val="004B5971"/>
    <w:rsid w:val="004B7679"/>
    <w:rsid w:val="004C59EE"/>
    <w:rsid w:val="004C7583"/>
    <w:rsid w:val="004D2DF2"/>
    <w:rsid w:val="004E0E4B"/>
    <w:rsid w:val="004E1900"/>
    <w:rsid w:val="004E40E6"/>
    <w:rsid w:val="004E74BD"/>
    <w:rsid w:val="004F30AD"/>
    <w:rsid w:val="004F3EF8"/>
    <w:rsid w:val="005021CF"/>
    <w:rsid w:val="00502298"/>
    <w:rsid w:val="005047FF"/>
    <w:rsid w:val="00507011"/>
    <w:rsid w:val="005116CA"/>
    <w:rsid w:val="005137EF"/>
    <w:rsid w:val="005141E1"/>
    <w:rsid w:val="00521D0B"/>
    <w:rsid w:val="0052206E"/>
    <w:rsid w:val="00543C5B"/>
    <w:rsid w:val="00544801"/>
    <w:rsid w:val="00553F18"/>
    <w:rsid w:val="005543E4"/>
    <w:rsid w:val="005568BE"/>
    <w:rsid w:val="005613B6"/>
    <w:rsid w:val="005639DB"/>
    <w:rsid w:val="00567A83"/>
    <w:rsid w:val="00570067"/>
    <w:rsid w:val="00570764"/>
    <w:rsid w:val="005724E3"/>
    <w:rsid w:val="00572A3F"/>
    <w:rsid w:val="00573F6B"/>
    <w:rsid w:val="00576BD5"/>
    <w:rsid w:val="00580F68"/>
    <w:rsid w:val="00581CD0"/>
    <w:rsid w:val="005833D4"/>
    <w:rsid w:val="00585BCE"/>
    <w:rsid w:val="00592231"/>
    <w:rsid w:val="005A1A52"/>
    <w:rsid w:val="005C066D"/>
    <w:rsid w:val="005C39A9"/>
    <w:rsid w:val="005C3A73"/>
    <w:rsid w:val="005D4C03"/>
    <w:rsid w:val="005E6852"/>
    <w:rsid w:val="005F62CF"/>
    <w:rsid w:val="005F6A0E"/>
    <w:rsid w:val="0060183B"/>
    <w:rsid w:val="00605794"/>
    <w:rsid w:val="0060728F"/>
    <w:rsid w:val="00611483"/>
    <w:rsid w:val="00614D13"/>
    <w:rsid w:val="00616829"/>
    <w:rsid w:val="00624AF8"/>
    <w:rsid w:val="0062568D"/>
    <w:rsid w:val="00626A7D"/>
    <w:rsid w:val="00644FA8"/>
    <w:rsid w:val="00655A57"/>
    <w:rsid w:val="006576D0"/>
    <w:rsid w:val="006630C0"/>
    <w:rsid w:val="006800A6"/>
    <w:rsid w:val="00685D42"/>
    <w:rsid w:val="006872D4"/>
    <w:rsid w:val="0069424E"/>
    <w:rsid w:val="006A0D36"/>
    <w:rsid w:val="006A41DF"/>
    <w:rsid w:val="006A45F7"/>
    <w:rsid w:val="006A5D11"/>
    <w:rsid w:val="006A5E78"/>
    <w:rsid w:val="006C18DD"/>
    <w:rsid w:val="006C4074"/>
    <w:rsid w:val="006C6405"/>
    <w:rsid w:val="006D4D82"/>
    <w:rsid w:val="006E1A36"/>
    <w:rsid w:val="006E4596"/>
    <w:rsid w:val="006E4715"/>
    <w:rsid w:val="006E7687"/>
    <w:rsid w:val="006F6187"/>
    <w:rsid w:val="0070385A"/>
    <w:rsid w:val="00704AB8"/>
    <w:rsid w:val="00704B8B"/>
    <w:rsid w:val="00715A1D"/>
    <w:rsid w:val="00717781"/>
    <w:rsid w:val="00720891"/>
    <w:rsid w:val="00721B17"/>
    <w:rsid w:val="00727E57"/>
    <w:rsid w:val="007303DF"/>
    <w:rsid w:val="00732CDE"/>
    <w:rsid w:val="00734EE9"/>
    <w:rsid w:val="0074451A"/>
    <w:rsid w:val="0075095D"/>
    <w:rsid w:val="007546C8"/>
    <w:rsid w:val="00754906"/>
    <w:rsid w:val="00767B82"/>
    <w:rsid w:val="00774BAB"/>
    <w:rsid w:val="00776C36"/>
    <w:rsid w:val="00777869"/>
    <w:rsid w:val="007808F2"/>
    <w:rsid w:val="0079502D"/>
    <w:rsid w:val="007954F7"/>
    <w:rsid w:val="007A0D56"/>
    <w:rsid w:val="007A1C34"/>
    <w:rsid w:val="007A46AC"/>
    <w:rsid w:val="007B0AA1"/>
    <w:rsid w:val="007B38EA"/>
    <w:rsid w:val="007B66D0"/>
    <w:rsid w:val="007B6829"/>
    <w:rsid w:val="007B6C22"/>
    <w:rsid w:val="007C076E"/>
    <w:rsid w:val="007C28D9"/>
    <w:rsid w:val="007C75A5"/>
    <w:rsid w:val="007E3C3A"/>
    <w:rsid w:val="007F16AE"/>
    <w:rsid w:val="007F2E2B"/>
    <w:rsid w:val="007F4FD3"/>
    <w:rsid w:val="00802E3E"/>
    <w:rsid w:val="00804572"/>
    <w:rsid w:val="008101C7"/>
    <w:rsid w:val="00811AC8"/>
    <w:rsid w:val="0081337A"/>
    <w:rsid w:val="00813EA4"/>
    <w:rsid w:val="0081430B"/>
    <w:rsid w:val="00817679"/>
    <w:rsid w:val="008177CD"/>
    <w:rsid w:val="008220E4"/>
    <w:rsid w:val="00823939"/>
    <w:rsid w:val="00825641"/>
    <w:rsid w:val="0082661B"/>
    <w:rsid w:val="0082694B"/>
    <w:rsid w:val="00833168"/>
    <w:rsid w:val="00833397"/>
    <w:rsid w:val="00845071"/>
    <w:rsid w:val="00846989"/>
    <w:rsid w:val="00851F25"/>
    <w:rsid w:val="00852E54"/>
    <w:rsid w:val="008647C3"/>
    <w:rsid w:val="008745F2"/>
    <w:rsid w:val="00876976"/>
    <w:rsid w:val="00885183"/>
    <w:rsid w:val="00887EE1"/>
    <w:rsid w:val="008924D6"/>
    <w:rsid w:val="008A00CC"/>
    <w:rsid w:val="008A3739"/>
    <w:rsid w:val="008B277E"/>
    <w:rsid w:val="008B305F"/>
    <w:rsid w:val="008B335D"/>
    <w:rsid w:val="008B34C3"/>
    <w:rsid w:val="008B69D6"/>
    <w:rsid w:val="008C702A"/>
    <w:rsid w:val="008D22BA"/>
    <w:rsid w:val="008D6082"/>
    <w:rsid w:val="008D617F"/>
    <w:rsid w:val="008E1257"/>
    <w:rsid w:val="008E126D"/>
    <w:rsid w:val="008E1CD5"/>
    <w:rsid w:val="008E3688"/>
    <w:rsid w:val="008E75EB"/>
    <w:rsid w:val="00902445"/>
    <w:rsid w:val="0090373E"/>
    <w:rsid w:val="00903FF2"/>
    <w:rsid w:val="00906BE8"/>
    <w:rsid w:val="00907BC3"/>
    <w:rsid w:val="009101DE"/>
    <w:rsid w:val="009113E9"/>
    <w:rsid w:val="00912A18"/>
    <w:rsid w:val="00912F78"/>
    <w:rsid w:val="0091312F"/>
    <w:rsid w:val="00914578"/>
    <w:rsid w:val="009151E5"/>
    <w:rsid w:val="009175E1"/>
    <w:rsid w:val="009177B7"/>
    <w:rsid w:val="00920F06"/>
    <w:rsid w:val="00923C03"/>
    <w:rsid w:val="00927758"/>
    <w:rsid w:val="00930A4E"/>
    <w:rsid w:val="00934AC9"/>
    <w:rsid w:val="00940B73"/>
    <w:rsid w:val="009453DC"/>
    <w:rsid w:val="009542BD"/>
    <w:rsid w:val="00954D04"/>
    <w:rsid w:val="00957C51"/>
    <w:rsid w:val="00960464"/>
    <w:rsid w:val="009617BA"/>
    <w:rsid w:val="00965964"/>
    <w:rsid w:val="009732F2"/>
    <w:rsid w:val="00974588"/>
    <w:rsid w:val="00977685"/>
    <w:rsid w:val="00980E49"/>
    <w:rsid w:val="00981F6F"/>
    <w:rsid w:val="00994514"/>
    <w:rsid w:val="009966FB"/>
    <w:rsid w:val="009A041C"/>
    <w:rsid w:val="009A2948"/>
    <w:rsid w:val="009A77E2"/>
    <w:rsid w:val="009B1801"/>
    <w:rsid w:val="009B36AE"/>
    <w:rsid w:val="009B530A"/>
    <w:rsid w:val="009D0D6F"/>
    <w:rsid w:val="009E2201"/>
    <w:rsid w:val="009E5F83"/>
    <w:rsid w:val="009E6908"/>
    <w:rsid w:val="009E7E09"/>
    <w:rsid w:val="009F0653"/>
    <w:rsid w:val="009F6950"/>
    <w:rsid w:val="00A03262"/>
    <w:rsid w:val="00A16AEF"/>
    <w:rsid w:val="00A20089"/>
    <w:rsid w:val="00A211D5"/>
    <w:rsid w:val="00A27A8A"/>
    <w:rsid w:val="00A30AD9"/>
    <w:rsid w:val="00A31E47"/>
    <w:rsid w:val="00A360DA"/>
    <w:rsid w:val="00A37D14"/>
    <w:rsid w:val="00A37E8C"/>
    <w:rsid w:val="00A41424"/>
    <w:rsid w:val="00A437E2"/>
    <w:rsid w:val="00A4535E"/>
    <w:rsid w:val="00A47145"/>
    <w:rsid w:val="00A606EF"/>
    <w:rsid w:val="00A616F7"/>
    <w:rsid w:val="00A833E4"/>
    <w:rsid w:val="00A91665"/>
    <w:rsid w:val="00A95709"/>
    <w:rsid w:val="00A970BE"/>
    <w:rsid w:val="00AA6570"/>
    <w:rsid w:val="00AB229A"/>
    <w:rsid w:val="00AB31F3"/>
    <w:rsid w:val="00AB7168"/>
    <w:rsid w:val="00AC190D"/>
    <w:rsid w:val="00AC2A30"/>
    <w:rsid w:val="00AC56C9"/>
    <w:rsid w:val="00AD3F4A"/>
    <w:rsid w:val="00AD6152"/>
    <w:rsid w:val="00AE62A1"/>
    <w:rsid w:val="00B03136"/>
    <w:rsid w:val="00B04AA8"/>
    <w:rsid w:val="00B0586D"/>
    <w:rsid w:val="00B10E9B"/>
    <w:rsid w:val="00B122B1"/>
    <w:rsid w:val="00B13131"/>
    <w:rsid w:val="00B161AB"/>
    <w:rsid w:val="00B17EEA"/>
    <w:rsid w:val="00B22BA1"/>
    <w:rsid w:val="00B2448F"/>
    <w:rsid w:val="00B24ED6"/>
    <w:rsid w:val="00B25921"/>
    <w:rsid w:val="00B2738D"/>
    <w:rsid w:val="00B27EBF"/>
    <w:rsid w:val="00B41635"/>
    <w:rsid w:val="00B43E52"/>
    <w:rsid w:val="00B44A94"/>
    <w:rsid w:val="00B44E41"/>
    <w:rsid w:val="00B61912"/>
    <w:rsid w:val="00B70739"/>
    <w:rsid w:val="00B756D1"/>
    <w:rsid w:val="00B83573"/>
    <w:rsid w:val="00B85BAA"/>
    <w:rsid w:val="00B9051D"/>
    <w:rsid w:val="00B92F07"/>
    <w:rsid w:val="00B949AE"/>
    <w:rsid w:val="00B9699C"/>
    <w:rsid w:val="00B977CC"/>
    <w:rsid w:val="00BA2E11"/>
    <w:rsid w:val="00BA3C31"/>
    <w:rsid w:val="00BC73E3"/>
    <w:rsid w:val="00BD031D"/>
    <w:rsid w:val="00BD3489"/>
    <w:rsid w:val="00BE4FC0"/>
    <w:rsid w:val="00BF328D"/>
    <w:rsid w:val="00BF56AF"/>
    <w:rsid w:val="00BF695F"/>
    <w:rsid w:val="00C007FF"/>
    <w:rsid w:val="00C03503"/>
    <w:rsid w:val="00C058E0"/>
    <w:rsid w:val="00C05ECD"/>
    <w:rsid w:val="00C17302"/>
    <w:rsid w:val="00C21E09"/>
    <w:rsid w:val="00C23E6D"/>
    <w:rsid w:val="00C37887"/>
    <w:rsid w:val="00C47174"/>
    <w:rsid w:val="00C47B10"/>
    <w:rsid w:val="00C5081E"/>
    <w:rsid w:val="00C50B98"/>
    <w:rsid w:val="00C56DCA"/>
    <w:rsid w:val="00C61152"/>
    <w:rsid w:val="00C66EBE"/>
    <w:rsid w:val="00C73A19"/>
    <w:rsid w:val="00C74B65"/>
    <w:rsid w:val="00C829A5"/>
    <w:rsid w:val="00C851BE"/>
    <w:rsid w:val="00C9222A"/>
    <w:rsid w:val="00C95EB9"/>
    <w:rsid w:val="00C961EA"/>
    <w:rsid w:val="00CB2BAF"/>
    <w:rsid w:val="00CB3F84"/>
    <w:rsid w:val="00CB550E"/>
    <w:rsid w:val="00CD31A2"/>
    <w:rsid w:val="00CD4BD5"/>
    <w:rsid w:val="00CD4CB6"/>
    <w:rsid w:val="00CE1ADE"/>
    <w:rsid w:val="00CE2974"/>
    <w:rsid w:val="00CE7ED6"/>
    <w:rsid w:val="00CF1991"/>
    <w:rsid w:val="00CF3CD5"/>
    <w:rsid w:val="00CF6FC0"/>
    <w:rsid w:val="00D031F2"/>
    <w:rsid w:val="00D051D1"/>
    <w:rsid w:val="00D05990"/>
    <w:rsid w:val="00D10AC0"/>
    <w:rsid w:val="00D14B42"/>
    <w:rsid w:val="00D17163"/>
    <w:rsid w:val="00D17EAD"/>
    <w:rsid w:val="00D20C38"/>
    <w:rsid w:val="00D26D16"/>
    <w:rsid w:val="00D3332C"/>
    <w:rsid w:val="00D3341B"/>
    <w:rsid w:val="00D403B3"/>
    <w:rsid w:val="00D438FD"/>
    <w:rsid w:val="00D46BE9"/>
    <w:rsid w:val="00D47023"/>
    <w:rsid w:val="00D472D6"/>
    <w:rsid w:val="00D50283"/>
    <w:rsid w:val="00D55D92"/>
    <w:rsid w:val="00D56BD6"/>
    <w:rsid w:val="00D57B10"/>
    <w:rsid w:val="00D627E5"/>
    <w:rsid w:val="00D6696E"/>
    <w:rsid w:val="00D67F49"/>
    <w:rsid w:val="00D752B2"/>
    <w:rsid w:val="00D75EE6"/>
    <w:rsid w:val="00D86BEE"/>
    <w:rsid w:val="00D90261"/>
    <w:rsid w:val="00D91CB2"/>
    <w:rsid w:val="00D921B2"/>
    <w:rsid w:val="00D92925"/>
    <w:rsid w:val="00D93518"/>
    <w:rsid w:val="00D96720"/>
    <w:rsid w:val="00DA1630"/>
    <w:rsid w:val="00DA1A06"/>
    <w:rsid w:val="00DB05DE"/>
    <w:rsid w:val="00DB06A6"/>
    <w:rsid w:val="00DC5DCC"/>
    <w:rsid w:val="00DD1E17"/>
    <w:rsid w:val="00DD1E2A"/>
    <w:rsid w:val="00DE1BCA"/>
    <w:rsid w:val="00DE1D41"/>
    <w:rsid w:val="00DE325E"/>
    <w:rsid w:val="00DF03EE"/>
    <w:rsid w:val="00DF3FE1"/>
    <w:rsid w:val="00E07713"/>
    <w:rsid w:val="00E12A08"/>
    <w:rsid w:val="00E14686"/>
    <w:rsid w:val="00E15B7A"/>
    <w:rsid w:val="00E22D8A"/>
    <w:rsid w:val="00E24F65"/>
    <w:rsid w:val="00E30C15"/>
    <w:rsid w:val="00E400FD"/>
    <w:rsid w:val="00E40CFC"/>
    <w:rsid w:val="00E4241E"/>
    <w:rsid w:val="00E428AA"/>
    <w:rsid w:val="00E505DD"/>
    <w:rsid w:val="00E51F08"/>
    <w:rsid w:val="00E53137"/>
    <w:rsid w:val="00E567E6"/>
    <w:rsid w:val="00E6344F"/>
    <w:rsid w:val="00E65286"/>
    <w:rsid w:val="00E70E4F"/>
    <w:rsid w:val="00E75881"/>
    <w:rsid w:val="00E809E4"/>
    <w:rsid w:val="00E86227"/>
    <w:rsid w:val="00E86E05"/>
    <w:rsid w:val="00E87458"/>
    <w:rsid w:val="00E904B2"/>
    <w:rsid w:val="00EA3268"/>
    <w:rsid w:val="00EB0442"/>
    <w:rsid w:val="00EB5E85"/>
    <w:rsid w:val="00EC00CB"/>
    <w:rsid w:val="00EC3673"/>
    <w:rsid w:val="00ED31D7"/>
    <w:rsid w:val="00ED3274"/>
    <w:rsid w:val="00ED7C3C"/>
    <w:rsid w:val="00ED7E7A"/>
    <w:rsid w:val="00EE288A"/>
    <w:rsid w:val="00EE3203"/>
    <w:rsid w:val="00EF747C"/>
    <w:rsid w:val="00F027E7"/>
    <w:rsid w:val="00F10C5C"/>
    <w:rsid w:val="00F117CB"/>
    <w:rsid w:val="00F132EB"/>
    <w:rsid w:val="00F13523"/>
    <w:rsid w:val="00F17518"/>
    <w:rsid w:val="00F21D90"/>
    <w:rsid w:val="00F23243"/>
    <w:rsid w:val="00F24E6F"/>
    <w:rsid w:val="00F31345"/>
    <w:rsid w:val="00F32D75"/>
    <w:rsid w:val="00F34E58"/>
    <w:rsid w:val="00F35372"/>
    <w:rsid w:val="00F40F5B"/>
    <w:rsid w:val="00F4192E"/>
    <w:rsid w:val="00F433EA"/>
    <w:rsid w:val="00F45C05"/>
    <w:rsid w:val="00F512C0"/>
    <w:rsid w:val="00F713B8"/>
    <w:rsid w:val="00F73A38"/>
    <w:rsid w:val="00F9148B"/>
    <w:rsid w:val="00FA2DF2"/>
    <w:rsid w:val="00FA6380"/>
    <w:rsid w:val="00FA63B0"/>
    <w:rsid w:val="00FB1125"/>
    <w:rsid w:val="00FB1376"/>
    <w:rsid w:val="00FB7482"/>
    <w:rsid w:val="00FB7910"/>
    <w:rsid w:val="00FC6A68"/>
    <w:rsid w:val="00FD7F4F"/>
    <w:rsid w:val="00FE1E2D"/>
    <w:rsid w:val="00FE2BBB"/>
    <w:rsid w:val="00FE360B"/>
    <w:rsid w:val="00FF4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82B9DC-E2C7-4B93-BB6D-470D65A0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1A2"/>
    <w:pPr>
      <w:widowControl w:val="0"/>
      <w:spacing w:line="580" w:lineRule="exact"/>
      <w:ind w:firstLineChars="200" w:firstLine="200"/>
      <w:jc w:val="both"/>
    </w:pPr>
    <w:rPr>
      <w:rFonts w:ascii="Times New Roman" w:eastAsia="仿宋_GB2312" w:hAnsi="Times New Roman" w:cs="Times New Roman"/>
      <w:sz w:val="32"/>
      <w:szCs w:val="24"/>
    </w:rPr>
  </w:style>
  <w:style w:type="paragraph" w:styleId="1">
    <w:name w:val="heading 1"/>
    <w:basedOn w:val="a"/>
    <w:next w:val="a"/>
    <w:link w:val="1Char"/>
    <w:uiPriority w:val="9"/>
    <w:qFormat/>
    <w:rsid w:val="00CD31A2"/>
    <w:pPr>
      <w:widowControl/>
      <w:spacing w:beforeLines="100" w:line="375" w:lineRule="atLeast"/>
      <w:ind w:firstLineChars="0" w:firstLine="0"/>
      <w:jc w:val="center"/>
      <w:outlineLvl w:val="0"/>
    </w:pPr>
    <w:rPr>
      <w:rFonts w:ascii="黑体" w:eastAsia="黑体" w:hAnsi="黑体" w:cs="宋体"/>
      <w:color w:val="4E4E4E"/>
      <w:kern w:val="0"/>
      <w:sz w:val="36"/>
      <w:szCs w:val="36"/>
    </w:rPr>
  </w:style>
  <w:style w:type="paragraph" w:styleId="2">
    <w:name w:val="heading 2"/>
    <w:basedOn w:val="a"/>
    <w:next w:val="a"/>
    <w:link w:val="2Char"/>
    <w:uiPriority w:val="9"/>
    <w:qFormat/>
    <w:rsid w:val="00CD31A2"/>
    <w:pPr>
      <w:spacing w:line="600" w:lineRule="exact"/>
      <w:ind w:firstLineChars="0" w:firstLine="0"/>
      <w:jc w:val="left"/>
      <w:outlineLvl w:val="1"/>
    </w:pPr>
    <w:rPr>
      <w:rFonts w:ascii="仿宋_GB2312" w:hAnsi="Calibri" w:cs="Microsoft Himalaya"/>
      <w:b/>
      <w:sz w:val="30"/>
      <w:szCs w:val="30"/>
      <w:lang w:bidi="bo-CN"/>
    </w:rPr>
  </w:style>
  <w:style w:type="paragraph" w:styleId="3">
    <w:name w:val="heading 3"/>
    <w:basedOn w:val="a"/>
    <w:next w:val="a"/>
    <w:link w:val="3Char"/>
    <w:uiPriority w:val="9"/>
    <w:qFormat/>
    <w:rsid w:val="00CD31A2"/>
    <w:pPr>
      <w:adjustRightInd w:val="0"/>
      <w:spacing w:line="600" w:lineRule="exact"/>
      <w:ind w:firstLineChars="0" w:firstLine="0"/>
      <w:jc w:val="center"/>
      <w:outlineLvl w:val="2"/>
    </w:pPr>
    <w:rPr>
      <w:rFonts w:ascii="仿宋_GB2312" w:hAnsi="Calibri" w:cs="Microsoft Himalaya"/>
      <w:b/>
      <w:sz w:val="30"/>
      <w:szCs w:val="30"/>
      <w:lang w:bidi="bo-CN"/>
    </w:rPr>
  </w:style>
  <w:style w:type="paragraph" w:styleId="4">
    <w:name w:val="heading 4"/>
    <w:basedOn w:val="3"/>
    <w:next w:val="a"/>
    <w:link w:val="4Char"/>
    <w:uiPriority w:val="9"/>
    <w:qFormat/>
    <w:rsid w:val="00CD31A2"/>
    <w:pPr>
      <w:outlineLvl w:val="3"/>
    </w:pPr>
  </w:style>
  <w:style w:type="paragraph" w:styleId="5">
    <w:name w:val="heading 5"/>
    <w:basedOn w:val="a0"/>
    <w:next w:val="a"/>
    <w:link w:val="5Char"/>
    <w:uiPriority w:val="9"/>
    <w:qFormat/>
    <w:rsid w:val="00CD31A2"/>
    <w:pPr>
      <w:numPr>
        <w:numId w:val="1"/>
      </w:numPr>
      <w:spacing w:line="600" w:lineRule="exact"/>
      <w:ind w:firstLineChars="0" w:firstLine="0"/>
      <w:outlineLvl w:val="4"/>
    </w:pPr>
    <w:rPr>
      <w:rFonts w:ascii="仿宋_GB2312" w:eastAsia="仿宋_GB2312" w:cs="Microsoft Himalaya"/>
      <w:sz w:val="30"/>
      <w:szCs w:val="30"/>
      <w:lang w:bidi="bo-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aliases w:val="标题二"/>
    <w:basedOn w:val="a"/>
    <w:next w:val="a"/>
    <w:link w:val="Char"/>
    <w:uiPriority w:val="10"/>
    <w:qFormat/>
    <w:rsid w:val="005F62CF"/>
    <w:pPr>
      <w:spacing w:before="240" w:after="60"/>
      <w:jc w:val="center"/>
      <w:outlineLvl w:val="0"/>
    </w:pPr>
    <w:rPr>
      <w:rFonts w:ascii="Calibri Light" w:eastAsia="黑体" w:hAnsi="Calibri Light"/>
      <w:bCs/>
      <w:szCs w:val="32"/>
    </w:rPr>
  </w:style>
  <w:style w:type="character" w:customStyle="1" w:styleId="Char">
    <w:name w:val="标题 Char"/>
    <w:aliases w:val="标题二 Char"/>
    <w:basedOn w:val="a1"/>
    <w:link w:val="a4"/>
    <w:uiPriority w:val="10"/>
    <w:rsid w:val="005F62CF"/>
    <w:rPr>
      <w:rFonts w:ascii="Calibri Light" w:eastAsia="黑体" w:hAnsi="Calibri Light" w:cs="Times New Roman"/>
      <w:bCs/>
      <w:sz w:val="32"/>
      <w:szCs w:val="32"/>
    </w:rPr>
  </w:style>
  <w:style w:type="character" w:customStyle="1" w:styleId="1Char">
    <w:name w:val="标题 1 Char"/>
    <w:basedOn w:val="a1"/>
    <w:link w:val="1"/>
    <w:uiPriority w:val="9"/>
    <w:rsid w:val="00CD31A2"/>
    <w:rPr>
      <w:rFonts w:ascii="黑体" w:eastAsia="黑体" w:hAnsi="黑体" w:cs="宋体"/>
      <w:color w:val="4E4E4E"/>
      <w:kern w:val="0"/>
      <w:sz w:val="36"/>
      <w:szCs w:val="36"/>
    </w:rPr>
  </w:style>
  <w:style w:type="character" w:customStyle="1" w:styleId="2Char">
    <w:name w:val="标题 2 Char"/>
    <w:basedOn w:val="a1"/>
    <w:link w:val="2"/>
    <w:uiPriority w:val="9"/>
    <w:rsid w:val="00CD31A2"/>
    <w:rPr>
      <w:rFonts w:ascii="仿宋_GB2312" w:eastAsia="仿宋_GB2312" w:hAnsi="Calibri" w:cs="Microsoft Himalaya"/>
      <w:b/>
      <w:sz w:val="30"/>
      <w:szCs w:val="30"/>
      <w:lang w:bidi="bo-CN"/>
    </w:rPr>
  </w:style>
  <w:style w:type="character" w:customStyle="1" w:styleId="3Char">
    <w:name w:val="标题 3 Char"/>
    <w:basedOn w:val="a1"/>
    <w:link w:val="3"/>
    <w:uiPriority w:val="9"/>
    <w:rsid w:val="00CD31A2"/>
    <w:rPr>
      <w:rFonts w:ascii="仿宋_GB2312" w:eastAsia="仿宋_GB2312" w:hAnsi="Calibri" w:cs="Microsoft Himalaya"/>
      <w:b/>
      <w:sz w:val="30"/>
      <w:szCs w:val="30"/>
      <w:lang w:bidi="bo-CN"/>
    </w:rPr>
  </w:style>
  <w:style w:type="character" w:customStyle="1" w:styleId="4Char">
    <w:name w:val="标题 4 Char"/>
    <w:basedOn w:val="a1"/>
    <w:link w:val="4"/>
    <w:uiPriority w:val="9"/>
    <w:rsid w:val="00CD31A2"/>
    <w:rPr>
      <w:rFonts w:ascii="仿宋_GB2312" w:eastAsia="仿宋_GB2312" w:hAnsi="Calibri" w:cs="Microsoft Himalaya"/>
      <w:b/>
      <w:sz w:val="30"/>
      <w:szCs w:val="30"/>
      <w:lang w:bidi="bo-CN"/>
    </w:rPr>
  </w:style>
  <w:style w:type="character" w:customStyle="1" w:styleId="5Char">
    <w:name w:val="标题 5 Char"/>
    <w:basedOn w:val="a1"/>
    <w:link w:val="5"/>
    <w:uiPriority w:val="9"/>
    <w:rsid w:val="00CD31A2"/>
    <w:rPr>
      <w:rFonts w:ascii="仿宋_GB2312" w:eastAsia="仿宋_GB2312" w:hAnsi="Calibri" w:cs="Microsoft Himalaya"/>
      <w:sz w:val="30"/>
      <w:szCs w:val="30"/>
      <w:lang w:bidi="bo-CN"/>
    </w:rPr>
  </w:style>
  <w:style w:type="paragraph" w:styleId="a5">
    <w:name w:val="header"/>
    <w:basedOn w:val="a"/>
    <w:link w:val="Char0"/>
    <w:uiPriority w:val="99"/>
    <w:rsid w:val="00CD31A2"/>
    <w:pPr>
      <w:pBdr>
        <w:bottom w:val="single" w:sz="6" w:space="1" w:color="auto"/>
      </w:pBdr>
      <w:tabs>
        <w:tab w:val="center" w:pos="4153"/>
        <w:tab w:val="right" w:pos="8306"/>
      </w:tabs>
      <w:snapToGrid w:val="0"/>
      <w:spacing w:line="240" w:lineRule="auto"/>
      <w:ind w:firstLineChars="0" w:firstLine="0"/>
      <w:jc w:val="center"/>
    </w:pPr>
    <w:rPr>
      <w:rFonts w:ascii="Calibri" w:eastAsia="宋体" w:hAnsi="Calibri"/>
      <w:kern w:val="0"/>
      <w:sz w:val="18"/>
      <w:szCs w:val="18"/>
      <w:lang w:val="x-none" w:eastAsia="x-none"/>
    </w:rPr>
  </w:style>
  <w:style w:type="character" w:customStyle="1" w:styleId="Char0">
    <w:name w:val="页眉 Char"/>
    <w:basedOn w:val="a1"/>
    <w:link w:val="a5"/>
    <w:uiPriority w:val="99"/>
    <w:rsid w:val="00CD31A2"/>
    <w:rPr>
      <w:rFonts w:ascii="Calibri" w:eastAsia="宋体" w:hAnsi="Calibri" w:cs="Times New Roman"/>
      <w:kern w:val="0"/>
      <w:sz w:val="18"/>
      <w:szCs w:val="18"/>
      <w:lang w:val="x-none" w:eastAsia="x-none"/>
    </w:rPr>
  </w:style>
  <w:style w:type="paragraph" w:styleId="a6">
    <w:name w:val="footer"/>
    <w:basedOn w:val="a"/>
    <w:link w:val="Char1"/>
    <w:uiPriority w:val="99"/>
    <w:rsid w:val="00CD31A2"/>
    <w:pPr>
      <w:tabs>
        <w:tab w:val="center" w:pos="4153"/>
        <w:tab w:val="right" w:pos="8306"/>
      </w:tabs>
      <w:snapToGrid w:val="0"/>
      <w:spacing w:line="240" w:lineRule="auto"/>
      <w:ind w:firstLineChars="0" w:firstLine="0"/>
      <w:jc w:val="left"/>
    </w:pPr>
    <w:rPr>
      <w:rFonts w:ascii="Calibri" w:eastAsia="宋体" w:hAnsi="Calibri"/>
      <w:kern w:val="0"/>
      <w:sz w:val="18"/>
      <w:szCs w:val="18"/>
      <w:lang w:val="x-none" w:eastAsia="x-none"/>
    </w:rPr>
  </w:style>
  <w:style w:type="character" w:customStyle="1" w:styleId="Char1">
    <w:name w:val="页脚 Char"/>
    <w:basedOn w:val="a1"/>
    <w:link w:val="a6"/>
    <w:uiPriority w:val="99"/>
    <w:rsid w:val="00CD31A2"/>
    <w:rPr>
      <w:rFonts w:ascii="Calibri" w:eastAsia="宋体" w:hAnsi="Calibri" w:cs="Times New Roman"/>
      <w:kern w:val="0"/>
      <w:sz w:val="18"/>
      <w:szCs w:val="18"/>
      <w:lang w:val="x-none" w:eastAsia="x-none"/>
    </w:rPr>
  </w:style>
  <w:style w:type="character" w:styleId="a7">
    <w:name w:val="annotation reference"/>
    <w:uiPriority w:val="99"/>
    <w:rsid w:val="00CD31A2"/>
    <w:rPr>
      <w:sz w:val="21"/>
      <w:szCs w:val="21"/>
    </w:rPr>
  </w:style>
  <w:style w:type="paragraph" w:styleId="a8">
    <w:name w:val="annotation text"/>
    <w:basedOn w:val="a"/>
    <w:link w:val="Char2"/>
    <w:uiPriority w:val="99"/>
    <w:rsid w:val="00CD31A2"/>
    <w:pPr>
      <w:spacing w:line="240" w:lineRule="auto"/>
      <w:ind w:firstLineChars="0" w:firstLine="0"/>
      <w:jc w:val="left"/>
    </w:pPr>
    <w:rPr>
      <w:rFonts w:ascii="Calibri" w:eastAsia="宋体" w:hAnsi="Calibri"/>
      <w:kern w:val="0"/>
      <w:sz w:val="20"/>
      <w:szCs w:val="20"/>
      <w:lang w:val="x-none" w:eastAsia="x-none"/>
    </w:rPr>
  </w:style>
  <w:style w:type="character" w:customStyle="1" w:styleId="Char2">
    <w:name w:val="批注文字 Char"/>
    <w:basedOn w:val="a1"/>
    <w:link w:val="a8"/>
    <w:uiPriority w:val="99"/>
    <w:rsid w:val="00CD31A2"/>
    <w:rPr>
      <w:rFonts w:ascii="Calibri" w:eastAsia="宋体" w:hAnsi="Calibri" w:cs="Times New Roman"/>
      <w:kern w:val="0"/>
      <w:sz w:val="20"/>
      <w:szCs w:val="20"/>
      <w:lang w:val="x-none" w:eastAsia="x-none"/>
    </w:rPr>
  </w:style>
  <w:style w:type="paragraph" w:styleId="a9">
    <w:name w:val="annotation subject"/>
    <w:basedOn w:val="a8"/>
    <w:next w:val="a8"/>
    <w:link w:val="Char3"/>
    <w:uiPriority w:val="99"/>
    <w:rsid w:val="00CD31A2"/>
    <w:rPr>
      <w:b/>
      <w:bCs/>
    </w:rPr>
  </w:style>
  <w:style w:type="character" w:customStyle="1" w:styleId="Char3">
    <w:name w:val="批注主题 Char"/>
    <w:basedOn w:val="Char2"/>
    <w:link w:val="a9"/>
    <w:uiPriority w:val="99"/>
    <w:rsid w:val="00CD31A2"/>
    <w:rPr>
      <w:rFonts w:ascii="Calibri" w:eastAsia="宋体" w:hAnsi="Calibri" w:cs="Times New Roman"/>
      <w:b/>
      <w:bCs/>
      <w:kern w:val="0"/>
      <w:sz w:val="20"/>
      <w:szCs w:val="20"/>
      <w:lang w:val="x-none" w:eastAsia="x-none"/>
    </w:rPr>
  </w:style>
  <w:style w:type="paragraph" w:styleId="aa">
    <w:name w:val="Balloon Text"/>
    <w:basedOn w:val="a"/>
    <w:link w:val="Char4"/>
    <w:uiPriority w:val="99"/>
    <w:rsid w:val="00CD31A2"/>
    <w:pPr>
      <w:spacing w:line="240" w:lineRule="auto"/>
      <w:ind w:firstLineChars="0" w:firstLine="0"/>
    </w:pPr>
    <w:rPr>
      <w:rFonts w:ascii="Calibri" w:eastAsia="宋体" w:hAnsi="Calibri"/>
      <w:kern w:val="0"/>
      <w:sz w:val="18"/>
      <w:szCs w:val="18"/>
      <w:lang w:val="x-none" w:eastAsia="x-none"/>
    </w:rPr>
  </w:style>
  <w:style w:type="character" w:customStyle="1" w:styleId="Char4">
    <w:name w:val="批注框文本 Char"/>
    <w:basedOn w:val="a1"/>
    <w:link w:val="aa"/>
    <w:uiPriority w:val="99"/>
    <w:rsid w:val="00CD31A2"/>
    <w:rPr>
      <w:rFonts w:ascii="Calibri" w:eastAsia="宋体" w:hAnsi="Calibri" w:cs="Times New Roman"/>
      <w:kern w:val="0"/>
      <w:sz w:val="18"/>
      <w:szCs w:val="18"/>
      <w:lang w:val="x-none" w:eastAsia="x-none"/>
    </w:rPr>
  </w:style>
  <w:style w:type="paragraph" w:styleId="a0">
    <w:name w:val="List Paragraph"/>
    <w:basedOn w:val="a"/>
    <w:uiPriority w:val="34"/>
    <w:qFormat/>
    <w:rsid w:val="00CD31A2"/>
    <w:pPr>
      <w:spacing w:line="240" w:lineRule="auto"/>
      <w:ind w:firstLine="420"/>
    </w:pPr>
    <w:rPr>
      <w:rFonts w:ascii="Calibri" w:eastAsia="宋体" w:hAnsi="Calibri"/>
      <w:sz w:val="21"/>
      <w:szCs w:val="22"/>
    </w:rPr>
  </w:style>
  <w:style w:type="paragraph" w:styleId="ab">
    <w:name w:val="Document Map"/>
    <w:basedOn w:val="a"/>
    <w:link w:val="Char5"/>
    <w:uiPriority w:val="99"/>
    <w:rsid w:val="00CD31A2"/>
    <w:pPr>
      <w:spacing w:line="240" w:lineRule="auto"/>
      <w:ind w:firstLineChars="0" w:firstLine="0"/>
    </w:pPr>
    <w:rPr>
      <w:rFonts w:ascii="宋体" w:eastAsia="宋体" w:hAnsi="Calibri"/>
      <w:sz w:val="18"/>
      <w:szCs w:val="18"/>
    </w:rPr>
  </w:style>
  <w:style w:type="character" w:customStyle="1" w:styleId="Char5">
    <w:name w:val="文档结构图 Char"/>
    <w:basedOn w:val="a1"/>
    <w:link w:val="ab"/>
    <w:uiPriority w:val="99"/>
    <w:rsid w:val="00CD31A2"/>
    <w:rPr>
      <w:rFonts w:ascii="宋体" w:eastAsia="宋体" w:hAnsi="Calibri" w:cs="Times New Roman"/>
      <w:sz w:val="18"/>
      <w:szCs w:val="18"/>
    </w:rPr>
  </w:style>
  <w:style w:type="paragraph" w:styleId="ac">
    <w:name w:val="footnote text"/>
    <w:basedOn w:val="a"/>
    <w:link w:val="Char6"/>
    <w:uiPriority w:val="99"/>
    <w:rsid w:val="00CD31A2"/>
    <w:pPr>
      <w:snapToGrid w:val="0"/>
      <w:spacing w:line="240" w:lineRule="auto"/>
      <w:ind w:firstLineChars="0" w:firstLine="0"/>
      <w:jc w:val="left"/>
    </w:pPr>
    <w:rPr>
      <w:rFonts w:ascii="Calibri" w:eastAsia="宋体" w:hAnsi="Calibri"/>
      <w:sz w:val="18"/>
      <w:szCs w:val="18"/>
    </w:rPr>
  </w:style>
  <w:style w:type="character" w:customStyle="1" w:styleId="Char6">
    <w:name w:val="脚注文本 Char"/>
    <w:basedOn w:val="a1"/>
    <w:link w:val="ac"/>
    <w:uiPriority w:val="99"/>
    <w:rsid w:val="00CD31A2"/>
    <w:rPr>
      <w:rFonts w:ascii="Calibri" w:eastAsia="宋体" w:hAnsi="Calibri" w:cs="Times New Roman"/>
      <w:sz w:val="18"/>
      <w:szCs w:val="18"/>
    </w:rPr>
  </w:style>
  <w:style w:type="character" w:styleId="ad">
    <w:name w:val="footnote reference"/>
    <w:uiPriority w:val="99"/>
    <w:rsid w:val="00CD31A2"/>
    <w:rPr>
      <w:vertAlign w:val="superscript"/>
    </w:rPr>
  </w:style>
  <w:style w:type="paragraph" w:styleId="ae">
    <w:name w:val="Normal Indent"/>
    <w:basedOn w:val="a"/>
    <w:rsid w:val="00CD31A2"/>
    <w:pPr>
      <w:spacing w:line="240" w:lineRule="auto"/>
      <w:ind w:firstLine="420"/>
    </w:pPr>
    <w:rPr>
      <w:rFonts w:eastAsia="宋体"/>
      <w:sz w:val="21"/>
    </w:rPr>
  </w:style>
  <w:style w:type="paragraph" w:styleId="af">
    <w:name w:val="No Spacing"/>
    <w:uiPriority w:val="1"/>
    <w:qFormat/>
    <w:rsid w:val="00CD31A2"/>
    <w:pPr>
      <w:widowControl w:val="0"/>
      <w:jc w:val="both"/>
    </w:pPr>
    <w:rPr>
      <w:rFonts w:ascii="Calibri" w:eastAsia="宋体" w:hAnsi="Calibri" w:cs="Times New Roman"/>
    </w:rPr>
  </w:style>
  <w:style w:type="paragraph" w:styleId="af0">
    <w:name w:val="Revision"/>
    <w:uiPriority w:val="99"/>
    <w:rsid w:val="00CD31A2"/>
    <w:rPr>
      <w:rFonts w:ascii="Calibri" w:eastAsia="宋体" w:hAnsi="Calibri" w:cs="Times New Roman"/>
    </w:rPr>
  </w:style>
  <w:style w:type="paragraph" w:styleId="10">
    <w:name w:val="toc 1"/>
    <w:basedOn w:val="a"/>
    <w:next w:val="a"/>
    <w:uiPriority w:val="39"/>
    <w:rsid w:val="00CD31A2"/>
    <w:pPr>
      <w:spacing w:line="240" w:lineRule="auto"/>
      <w:ind w:firstLineChars="0" w:firstLine="0"/>
    </w:pPr>
    <w:rPr>
      <w:rFonts w:ascii="Calibri" w:eastAsia="宋体" w:hAnsi="Calibri"/>
      <w:sz w:val="21"/>
      <w:szCs w:val="22"/>
    </w:rPr>
  </w:style>
  <w:style w:type="paragraph" w:styleId="30">
    <w:name w:val="toc 3"/>
    <w:basedOn w:val="a"/>
    <w:next w:val="a"/>
    <w:uiPriority w:val="39"/>
    <w:rsid w:val="00CD31A2"/>
    <w:pPr>
      <w:spacing w:line="240" w:lineRule="auto"/>
      <w:ind w:leftChars="400" w:left="840" w:firstLineChars="0" w:firstLine="0"/>
    </w:pPr>
    <w:rPr>
      <w:rFonts w:ascii="Calibri" w:eastAsia="宋体" w:hAnsi="Calibri"/>
      <w:sz w:val="21"/>
      <w:szCs w:val="22"/>
    </w:rPr>
  </w:style>
  <w:style w:type="paragraph" w:styleId="50">
    <w:name w:val="toc 5"/>
    <w:basedOn w:val="a"/>
    <w:next w:val="a"/>
    <w:uiPriority w:val="39"/>
    <w:rsid w:val="00CD31A2"/>
    <w:pPr>
      <w:spacing w:line="240" w:lineRule="auto"/>
      <w:ind w:leftChars="800" w:left="1680" w:firstLineChars="0" w:firstLine="0"/>
    </w:pPr>
    <w:rPr>
      <w:rFonts w:ascii="Calibri" w:eastAsia="宋体" w:hAnsi="Calibri"/>
      <w:sz w:val="21"/>
      <w:szCs w:val="22"/>
    </w:rPr>
  </w:style>
  <w:style w:type="paragraph" w:styleId="40">
    <w:name w:val="toc 4"/>
    <w:basedOn w:val="a"/>
    <w:next w:val="a"/>
    <w:uiPriority w:val="39"/>
    <w:rsid w:val="00CD31A2"/>
    <w:pPr>
      <w:spacing w:line="240" w:lineRule="auto"/>
      <w:ind w:leftChars="600" w:left="1260" w:firstLineChars="0" w:firstLine="0"/>
    </w:pPr>
    <w:rPr>
      <w:rFonts w:ascii="Calibri" w:eastAsia="宋体" w:hAnsi="Calibri"/>
      <w:sz w:val="21"/>
      <w:szCs w:val="22"/>
    </w:rPr>
  </w:style>
  <w:style w:type="paragraph" w:styleId="20">
    <w:name w:val="toc 2"/>
    <w:basedOn w:val="a"/>
    <w:next w:val="a"/>
    <w:uiPriority w:val="39"/>
    <w:rsid w:val="00CD31A2"/>
    <w:pPr>
      <w:spacing w:line="240" w:lineRule="auto"/>
      <w:ind w:leftChars="200" w:left="420" w:firstLineChars="0" w:firstLine="0"/>
    </w:pPr>
    <w:rPr>
      <w:rFonts w:ascii="Calibri" w:eastAsia="宋体" w:hAnsi="Calibri" w:cs="宋体"/>
      <w:sz w:val="21"/>
      <w:szCs w:val="22"/>
    </w:rPr>
  </w:style>
  <w:style w:type="paragraph" w:styleId="6">
    <w:name w:val="toc 6"/>
    <w:basedOn w:val="a"/>
    <w:next w:val="a"/>
    <w:uiPriority w:val="39"/>
    <w:rsid w:val="00CD31A2"/>
    <w:pPr>
      <w:spacing w:line="240" w:lineRule="auto"/>
      <w:ind w:leftChars="1000" w:left="2100" w:firstLineChars="0" w:firstLine="0"/>
    </w:pPr>
    <w:rPr>
      <w:rFonts w:ascii="Calibri" w:eastAsia="宋体" w:hAnsi="Calibri" w:cs="宋体"/>
      <w:sz w:val="21"/>
      <w:szCs w:val="22"/>
    </w:rPr>
  </w:style>
  <w:style w:type="paragraph" w:styleId="7">
    <w:name w:val="toc 7"/>
    <w:basedOn w:val="a"/>
    <w:next w:val="a"/>
    <w:uiPriority w:val="39"/>
    <w:rsid w:val="00CD31A2"/>
    <w:pPr>
      <w:spacing w:line="240" w:lineRule="auto"/>
      <w:ind w:leftChars="1200" w:left="2520" w:firstLineChars="0" w:firstLine="0"/>
    </w:pPr>
    <w:rPr>
      <w:rFonts w:ascii="Calibri" w:eastAsia="宋体" w:hAnsi="Calibri" w:cs="宋体"/>
      <w:sz w:val="21"/>
      <w:szCs w:val="22"/>
    </w:rPr>
  </w:style>
  <w:style w:type="paragraph" w:styleId="8">
    <w:name w:val="toc 8"/>
    <w:basedOn w:val="a"/>
    <w:next w:val="a"/>
    <w:uiPriority w:val="39"/>
    <w:rsid w:val="00CD31A2"/>
    <w:pPr>
      <w:spacing w:line="240" w:lineRule="auto"/>
      <w:ind w:leftChars="1400" w:left="2940" w:firstLineChars="0" w:firstLine="0"/>
    </w:pPr>
    <w:rPr>
      <w:rFonts w:ascii="Calibri" w:eastAsia="宋体" w:hAnsi="Calibri" w:cs="宋体"/>
      <w:sz w:val="21"/>
      <w:szCs w:val="22"/>
    </w:rPr>
  </w:style>
  <w:style w:type="paragraph" w:styleId="9">
    <w:name w:val="toc 9"/>
    <w:basedOn w:val="a"/>
    <w:next w:val="a"/>
    <w:uiPriority w:val="39"/>
    <w:rsid w:val="00CD31A2"/>
    <w:pPr>
      <w:spacing w:line="240" w:lineRule="auto"/>
      <w:ind w:leftChars="1600" w:left="3360" w:firstLineChars="0" w:firstLine="0"/>
    </w:pPr>
    <w:rPr>
      <w:rFonts w:ascii="Calibri" w:eastAsia="宋体" w:hAnsi="Calibri" w:cs="宋体"/>
      <w:sz w:val="21"/>
      <w:szCs w:val="22"/>
    </w:rPr>
  </w:style>
  <w:style w:type="character" w:styleId="af1">
    <w:name w:val="Hyperlink"/>
    <w:uiPriority w:val="99"/>
    <w:rsid w:val="00CD31A2"/>
    <w:rPr>
      <w:color w:val="0000FF"/>
      <w:u w:val="single"/>
    </w:rPr>
  </w:style>
  <w:style w:type="paragraph" w:styleId="af2">
    <w:name w:val="Body Text Indent"/>
    <w:basedOn w:val="a"/>
    <w:link w:val="Char7"/>
    <w:rsid w:val="00CD31A2"/>
    <w:pPr>
      <w:tabs>
        <w:tab w:val="left" w:pos="7020"/>
      </w:tabs>
      <w:spacing w:line="600" w:lineRule="exact"/>
      <w:ind w:firstLine="600"/>
    </w:pPr>
    <w:rPr>
      <w:rFonts w:ascii="仿宋_GB2312"/>
      <w:sz w:val="30"/>
    </w:rPr>
  </w:style>
  <w:style w:type="character" w:customStyle="1" w:styleId="Char7">
    <w:name w:val="正文文本缩进 Char"/>
    <w:basedOn w:val="a1"/>
    <w:link w:val="af2"/>
    <w:rsid w:val="00CD31A2"/>
    <w:rPr>
      <w:rFonts w:ascii="仿宋_GB2312" w:eastAsia="仿宋_GB2312" w:hAnsi="Times New Roman" w:cs="Times New Roman"/>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5B21B-FBC5-4294-99D2-AD5D93EC2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tx</dc:creator>
  <cp:keywords/>
  <dc:description/>
  <cp:lastModifiedBy>刘嵩洋:起草_1</cp:lastModifiedBy>
  <cp:revision>5</cp:revision>
  <dcterms:created xsi:type="dcterms:W3CDTF">2018-03-21T08:28:00Z</dcterms:created>
  <dcterms:modified xsi:type="dcterms:W3CDTF">2018-03-22T06:57:00Z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