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5A" w:rsidRDefault="00BD475A">
      <w:pPr>
        <w:snapToGrid w:val="0"/>
        <w:spacing w:beforeLines="50" w:before="156"/>
        <w:jc w:val="center"/>
        <w:outlineLvl w:val="0"/>
        <w:rPr>
          <w:rFonts w:ascii="方正小标宋简体" w:eastAsia="方正小标宋简体" w:cs="方正小标宋简体"/>
          <w:sz w:val="36"/>
          <w:szCs w:val="36"/>
        </w:rPr>
      </w:pPr>
      <w:bookmarkStart w:id="0" w:name="_Toc112767763"/>
      <w:r>
        <w:rPr>
          <w:rFonts w:ascii="方正小标宋简体" w:eastAsia="方正小标宋简体" w:cs="方正小标宋简体" w:hint="eastAsia"/>
          <w:sz w:val="36"/>
          <w:szCs w:val="36"/>
        </w:rPr>
        <w:t>中证机构间报价系统股份有限公司</w:t>
      </w:r>
    </w:p>
    <w:p w:rsidR="00F57C24" w:rsidRDefault="00BD475A">
      <w:pPr>
        <w:snapToGrid w:val="0"/>
        <w:spacing w:beforeLines="50" w:before="156"/>
        <w:jc w:val="center"/>
        <w:outlineLvl w:val="0"/>
        <w:rPr>
          <w:rFonts w:ascii="方正小标宋简体" w:eastAsia="方正小标宋简体" w:cs="方正小标宋简体"/>
          <w:sz w:val="36"/>
          <w:szCs w:val="36"/>
        </w:rPr>
      </w:pPr>
      <w:r>
        <w:rPr>
          <w:rFonts w:ascii="方正小标宋简体" w:eastAsia="方正小标宋简体" w:cs="方正小标宋简体" w:hint="eastAsia"/>
          <w:sz w:val="36"/>
          <w:szCs w:val="36"/>
        </w:rPr>
        <w:t>快递</w:t>
      </w:r>
      <w:r w:rsidR="0091029E">
        <w:rPr>
          <w:rFonts w:ascii="方正小标宋简体" w:eastAsia="方正小标宋简体" w:cs="方正小标宋简体" w:hint="eastAsia"/>
          <w:sz w:val="36"/>
          <w:szCs w:val="36"/>
        </w:rPr>
        <w:t>服务采购文件</w:t>
      </w:r>
    </w:p>
    <w:p w:rsidR="00F57C24" w:rsidRDefault="00F57C24">
      <w:pPr>
        <w:jc w:val="left"/>
        <w:rPr>
          <w:rFonts w:ascii="黑体" w:eastAsia="黑体"/>
          <w:sz w:val="32"/>
          <w:szCs w:val="32"/>
        </w:rPr>
      </w:pPr>
    </w:p>
    <w:p w:rsidR="00F57C24" w:rsidRDefault="0091029E">
      <w:pPr>
        <w:ind w:firstLineChars="200" w:firstLine="640"/>
        <w:jc w:val="left"/>
        <w:outlineLvl w:val="0"/>
        <w:rPr>
          <w:rFonts w:ascii="黑体" w:eastAsia="黑体"/>
          <w:sz w:val="32"/>
          <w:szCs w:val="32"/>
        </w:rPr>
      </w:pPr>
      <w:r>
        <w:rPr>
          <w:rFonts w:ascii="黑体" w:eastAsia="黑体" w:hint="eastAsia"/>
          <w:sz w:val="32"/>
          <w:szCs w:val="32"/>
        </w:rPr>
        <w:t>一、项目基本情况</w:t>
      </w:r>
    </w:p>
    <w:p w:rsidR="00F57C24" w:rsidRDefault="0091029E">
      <w:pPr>
        <w:ind w:firstLineChars="200" w:firstLine="640"/>
        <w:rPr>
          <w:rFonts w:ascii="仿宋_GB2312" w:eastAsia="仿宋_GB2312"/>
          <w:sz w:val="32"/>
          <w:szCs w:val="32"/>
        </w:rPr>
      </w:pPr>
      <w:r>
        <w:rPr>
          <w:rFonts w:ascii="仿宋_GB2312" w:eastAsia="仿宋_GB2312" w:hint="eastAsia"/>
          <w:sz w:val="32"/>
          <w:szCs w:val="32"/>
        </w:rPr>
        <w:t>1、项目名称：</w:t>
      </w:r>
      <w:r w:rsidR="00BD475A">
        <w:rPr>
          <w:rFonts w:ascii="仿宋_GB2312" w:eastAsia="仿宋_GB2312" w:hint="eastAsia"/>
          <w:sz w:val="32"/>
          <w:szCs w:val="32"/>
        </w:rPr>
        <w:t>快递</w:t>
      </w:r>
      <w:r>
        <w:rPr>
          <w:rFonts w:ascii="仿宋_GB2312" w:eastAsia="仿宋_GB2312" w:hint="eastAsia"/>
          <w:sz w:val="32"/>
          <w:szCs w:val="32"/>
        </w:rPr>
        <w:t>服务采购项目。</w:t>
      </w:r>
    </w:p>
    <w:p w:rsidR="00F57C24" w:rsidRDefault="0091029E">
      <w:pPr>
        <w:ind w:firstLineChars="200" w:firstLine="640"/>
        <w:rPr>
          <w:rFonts w:ascii="仿宋_GB2312" w:eastAsia="仿宋_GB2312"/>
          <w:sz w:val="32"/>
          <w:szCs w:val="32"/>
        </w:rPr>
      </w:pPr>
      <w:r>
        <w:rPr>
          <w:rFonts w:ascii="仿宋_GB2312" w:eastAsia="仿宋_GB2312" w:hint="eastAsia"/>
          <w:sz w:val="32"/>
          <w:szCs w:val="32"/>
        </w:rPr>
        <w:t>2、采购单位：</w:t>
      </w:r>
      <w:r w:rsidR="00BD475A">
        <w:rPr>
          <w:rFonts w:ascii="仿宋_GB2312" w:eastAsia="仿宋_GB2312" w:hint="eastAsia"/>
          <w:sz w:val="32"/>
          <w:szCs w:val="32"/>
        </w:rPr>
        <w:t>中证机构间报价系统股份有限公司</w:t>
      </w:r>
      <w:r>
        <w:rPr>
          <w:rFonts w:ascii="仿宋_GB2312" w:eastAsia="仿宋_GB2312" w:hint="eastAsia"/>
          <w:sz w:val="32"/>
          <w:szCs w:val="32"/>
        </w:rPr>
        <w:t>。</w:t>
      </w:r>
    </w:p>
    <w:p w:rsidR="00F57C24" w:rsidRDefault="0091029E">
      <w:pPr>
        <w:ind w:firstLineChars="200" w:firstLine="640"/>
        <w:rPr>
          <w:rFonts w:ascii="仿宋_GB2312" w:eastAsia="仿宋_GB2312"/>
          <w:sz w:val="32"/>
          <w:szCs w:val="32"/>
        </w:rPr>
      </w:pPr>
      <w:r>
        <w:rPr>
          <w:rFonts w:ascii="仿宋_GB2312" w:eastAsia="仿宋_GB2312" w:hint="eastAsia"/>
          <w:sz w:val="32"/>
          <w:szCs w:val="32"/>
        </w:rPr>
        <w:t>3、采购方式：竞争性</w:t>
      </w:r>
      <w:r w:rsidR="002738AC">
        <w:rPr>
          <w:rFonts w:ascii="仿宋_GB2312" w:eastAsia="仿宋_GB2312" w:hint="eastAsia"/>
          <w:sz w:val="32"/>
          <w:szCs w:val="32"/>
        </w:rPr>
        <w:t>谈判</w:t>
      </w:r>
      <w:r>
        <w:rPr>
          <w:rFonts w:ascii="仿宋_GB2312" w:eastAsia="仿宋_GB2312" w:hint="eastAsia"/>
          <w:sz w:val="32"/>
          <w:szCs w:val="32"/>
        </w:rPr>
        <w:t>。</w:t>
      </w:r>
    </w:p>
    <w:p w:rsidR="00F57C24" w:rsidRDefault="0091029E">
      <w:pPr>
        <w:ind w:firstLineChars="200" w:firstLine="640"/>
        <w:rPr>
          <w:rFonts w:ascii="仿宋_GB2312" w:eastAsia="仿宋_GB2312"/>
          <w:sz w:val="32"/>
          <w:szCs w:val="32"/>
        </w:rPr>
      </w:pPr>
      <w:r>
        <w:rPr>
          <w:rFonts w:ascii="仿宋_GB2312" w:eastAsia="仿宋_GB2312" w:hint="eastAsia"/>
          <w:sz w:val="32"/>
          <w:szCs w:val="32"/>
        </w:rPr>
        <w:t>4、预算金额：</w:t>
      </w:r>
      <w:r w:rsidR="00BD475A">
        <w:rPr>
          <w:rFonts w:ascii="仿宋_GB2312" w:eastAsia="仿宋_GB2312"/>
          <w:sz w:val="32"/>
          <w:szCs w:val="32"/>
        </w:rPr>
        <w:t>40000</w:t>
      </w:r>
      <w:r>
        <w:rPr>
          <w:rFonts w:ascii="仿宋_GB2312" w:eastAsia="仿宋_GB2312" w:hint="eastAsia"/>
          <w:sz w:val="32"/>
          <w:szCs w:val="32"/>
        </w:rPr>
        <w:t>元（人民币）</w:t>
      </w:r>
      <w:r w:rsidR="00BD475A">
        <w:rPr>
          <w:rFonts w:ascii="仿宋_GB2312" w:eastAsia="仿宋_GB2312" w:hint="eastAsia"/>
          <w:sz w:val="32"/>
          <w:szCs w:val="32"/>
        </w:rPr>
        <w:t>/年</w:t>
      </w:r>
      <w:r>
        <w:rPr>
          <w:rFonts w:ascii="仿宋_GB2312" w:eastAsia="仿宋_GB2312" w:hint="eastAsia"/>
          <w:sz w:val="32"/>
          <w:szCs w:val="32"/>
        </w:rPr>
        <w:t>。</w:t>
      </w:r>
    </w:p>
    <w:p w:rsidR="00F57C24" w:rsidRDefault="0091029E">
      <w:pPr>
        <w:ind w:firstLineChars="200" w:firstLine="640"/>
        <w:outlineLvl w:val="0"/>
        <w:rPr>
          <w:rFonts w:ascii="仿宋_GB2312" w:eastAsia="仿宋_GB2312"/>
          <w:sz w:val="32"/>
          <w:szCs w:val="32"/>
        </w:rPr>
      </w:pPr>
      <w:r>
        <w:rPr>
          <w:rFonts w:ascii="仿宋_GB2312" w:eastAsia="仿宋_GB2312" w:hint="eastAsia"/>
          <w:sz w:val="32"/>
          <w:szCs w:val="32"/>
        </w:rPr>
        <w:t>5、合同履行期限：2023年</w:t>
      </w:r>
      <w:r w:rsidR="00BD475A">
        <w:rPr>
          <w:rFonts w:ascii="仿宋_GB2312" w:eastAsia="仿宋_GB2312"/>
          <w:sz w:val="32"/>
          <w:szCs w:val="32"/>
        </w:rPr>
        <w:t>5</w:t>
      </w:r>
      <w:r>
        <w:rPr>
          <w:rFonts w:ascii="仿宋_GB2312" w:eastAsia="仿宋_GB2312" w:hint="eastAsia"/>
          <w:sz w:val="32"/>
          <w:szCs w:val="32"/>
        </w:rPr>
        <w:t>月</w:t>
      </w:r>
      <w:r w:rsidR="00BD475A">
        <w:rPr>
          <w:rFonts w:ascii="仿宋_GB2312" w:eastAsia="仿宋_GB2312"/>
          <w:sz w:val="32"/>
          <w:szCs w:val="32"/>
        </w:rPr>
        <w:t>12</w:t>
      </w:r>
      <w:r>
        <w:rPr>
          <w:rFonts w:ascii="仿宋_GB2312" w:eastAsia="仿宋_GB2312" w:hint="eastAsia"/>
          <w:sz w:val="32"/>
          <w:szCs w:val="32"/>
        </w:rPr>
        <w:t>日至</w:t>
      </w:r>
      <w:r w:rsidR="00BD475A">
        <w:rPr>
          <w:rFonts w:ascii="仿宋_GB2312" w:eastAsia="仿宋_GB2312" w:hint="eastAsia"/>
          <w:sz w:val="32"/>
          <w:szCs w:val="32"/>
        </w:rPr>
        <w:t>2</w:t>
      </w:r>
      <w:r w:rsidR="00BD475A">
        <w:rPr>
          <w:rFonts w:ascii="仿宋_GB2312" w:eastAsia="仿宋_GB2312"/>
          <w:sz w:val="32"/>
          <w:szCs w:val="32"/>
        </w:rPr>
        <w:t>026</w:t>
      </w:r>
      <w:r w:rsidR="00BD475A">
        <w:rPr>
          <w:rFonts w:ascii="仿宋_GB2312" w:eastAsia="仿宋_GB2312" w:hint="eastAsia"/>
          <w:sz w:val="32"/>
          <w:szCs w:val="32"/>
        </w:rPr>
        <w:t>年</w:t>
      </w:r>
      <w:r w:rsidR="00BD475A">
        <w:rPr>
          <w:rFonts w:ascii="仿宋_GB2312" w:eastAsia="仿宋_GB2312"/>
          <w:sz w:val="32"/>
          <w:szCs w:val="32"/>
        </w:rPr>
        <w:t>5</w:t>
      </w:r>
      <w:r>
        <w:rPr>
          <w:rFonts w:ascii="仿宋_GB2312" w:eastAsia="仿宋_GB2312" w:hint="eastAsia"/>
          <w:sz w:val="32"/>
          <w:szCs w:val="32"/>
        </w:rPr>
        <w:t>月1</w:t>
      </w:r>
      <w:r w:rsidR="00BD475A">
        <w:rPr>
          <w:rFonts w:ascii="仿宋_GB2312" w:eastAsia="仿宋_GB2312"/>
          <w:sz w:val="32"/>
          <w:szCs w:val="32"/>
        </w:rPr>
        <w:t>1</w:t>
      </w:r>
      <w:r>
        <w:rPr>
          <w:rFonts w:ascii="仿宋_GB2312" w:eastAsia="仿宋_GB2312" w:hint="eastAsia"/>
          <w:sz w:val="32"/>
          <w:szCs w:val="32"/>
        </w:rPr>
        <w:t>日。</w:t>
      </w:r>
    </w:p>
    <w:p w:rsidR="00F57C24" w:rsidRDefault="0091029E">
      <w:pPr>
        <w:ind w:firstLineChars="200" w:firstLine="640"/>
        <w:outlineLvl w:val="0"/>
        <w:rPr>
          <w:rFonts w:ascii="黑体" w:eastAsia="黑体"/>
          <w:sz w:val="32"/>
          <w:szCs w:val="32"/>
        </w:rPr>
      </w:pPr>
      <w:r>
        <w:rPr>
          <w:rFonts w:ascii="黑体" w:eastAsia="黑体" w:hint="eastAsia"/>
          <w:sz w:val="32"/>
          <w:szCs w:val="32"/>
        </w:rPr>
        <w:t>二、采购需求</w:t>
      </w:r>
    </w:p>
    <w:tbl>
      <w:tblPr>
        <w:tblW w:w="3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9"/>
        <w:gridCol w:w="2552"/>
        <w:gridCol w:w="1559"/>
        <w:gridCol w:w="1700"/>
      </w:tblGrid>
      <w:tr w:rsidR="00BD475A" w:rsidTr="00BD475A">
        <w:trPr>
          <w:jc w:val="center"/>
        </w:trPr>
        <w:tc>
          <w:tcPr>
            <w:tcW w:w="570" w:type="pct"/>
          </w:tcPr>
          <w:p w:rsidR="00BD475A" w:rsidRDefault="00BD475A">
            <w:pPr>
              <w:jc w:val="center"/>
              <w:rPr>
                <w:rFonts w:ascii="仿宋_GB2312" w:eastAsia="仿宋_GB2312" w:cs="仿宋_GB2312"/>
                <w:b/>
                <w:bCs/>
                <w:sz w:val="28"/>
                <w:szCs w:val="28"/>
              </w:rPr>
            </w:pPr>
            <w:r>
              <w:rPr>
                <w:rFonts w:ascii="仿宋_GB2312" w:eastAsia="仿宋_GB2312" w:cs="仿宋_GB2312" w:hint="eastAsia"/>
                <w:b/>
                <w:bCs/>
                <w:sz w:val="28"/>
                <w:szCs w:val="28"/>
              </w:rPr>
              <w:t>序号</w:t>
            </w:r>
          </w:p>
        </w:tc>
        <w:tc>
          <w:tcPr>
            <w:tcW w:w="1945" w:type="pct"/>
          </w:tcPr>
          <w:p w:rsidR="00BD475A" w:rsidRDefault="00BD475A">
            <w:pPr>
              <w:jc w:val="center"/>
              <w:rPr>
                <w:rFonts w:ascii="仿宋_GB2312" w:eastAsia="仿宋_GB2312" w:cs="仿宋_GB2312"/>
                <w:b/>
                <w:bCs/>
                <w:sz w:val="28"/>
                <w:szCs w:val="28"/>
              </w:rPr>
            </w:pPr>
            <w:r>
              <w:rPr>
                <w:rFonts w:ascii="仿宋_GB2312" w:eastAsia="仿宋_GB2312" w:cs="仿宋_GB2312" w:hint="eastAsia"/>
                <w:b/>
                <w:bCs/>
                <w:sz w:val="28"/>
                <w:szCs w:val="28"/>
              </w:rPr>
              <w:t>服务内容</w:t>
            </w:r>
          </w:p>
        </w:tc>
        <w:tc>
          <w:tcPr>
            <w:tcW w:w="1188" w:type="pct"/>
          </w:tcPr>
          <w:p w:rsidR="00BD475A" w:rsidRDefault="00BD475A">
            <w:pPr>
              <w:jc w:val="center"/>
              <w:rPr>
                <w:rFonts w:ascii="仿宋_GB2312" w:eastAsia="仿宋_GB2312" w:cs="仿宋_GB2312"/>
                <w:b/>
                <w:bCs/>
                <w:sz w:val="28"/>
                <w:szCs w:val="28"/>
              </w:rPr>
            </w:pPr>
            <w:r>
              <w:rPr>
                <w:rFonts w:ascii="仿宋_GB2312" w:eastAsia="仿宋_GB2312" w:cs="仿宋_GB2312" w:hint="eastAsia"/>
                <w:b/>
                <w:bCs/>
                <w:sz w:val="28"/>
                <w:szCs w:val="28"/>
              </w:rPr>
              <w:t>结算方式</w:t>
            </w:r>
          </w:p>
        </w:tc>
        <w:tc>
          <w:tcPr>
            <w:tcW w:w="1296" w:type="pct"/>
          </w:tcPr>
          <w:p w:rsidR="00BD475A" w:rsidRDefault="00BD475A">
            <w:pPr>
              <w:jc w:val="center"/>
              <w:rPr>
                <w:rFonts w:ascii="仿宋_GB2312" w:eastAsia="仿宋_GB2312" w:cs="仿宋_GB2312"/>
                <w:b/>
                <w:bCs/>
                <w:sz w:val="28"/>
                <w:szCs w:val="28"/>
              </w:rPr>
            </w:pPr>
            <w:r>
              <w:rPr>
                <w:rFonts w:ascii="仿宋_GB2312" w:eastAsia="仿宋_GB2312" w:cs="仿宋_GB2312" w:hint="eastAsia"/>
                <w:b/>
                <w:bCs/>
                <w:sz w:val="28"/>
                <w:szCs w:val="28"/>
              </w:rPr>
              <w:t>采购方式</w:t>
            </w:r>
          </w:p>
        </w:tc>
      </w:tr>
      <w:tr w:rsidR="00BD475A" w:rsidTr="00BD475A">
        <w:trPr>
          <w:trHeight w:val="538"/>
          <w:jc w:val="center"/>
        </w:trPr>
        <w:tc>
          <w:tcPr>
            <w:tcW w:w="570" w:type="pct"/>
            <w:vAlign w:val="center"/>
          </w:tcPr>
          <w:p w:rsidR="00BD475A" w:rsidRDefault="00BD475A">
            <w:pPr>
              <w:snapToGrid w:val="0"/>
              <w:jc w:val="center"/>
              <w:rPr>
                <w:rFonts w:ascii="仿宋_GB2312" w:eastAsia="仿宋_GB2312" w:cs="仿宋_GB2312"/>
                <w:sz w:val="28"/>
                <w:szCs w:val="28"/>
              </w:rPr>
            </w:pPr>
            <w:r>
              <w:rPr>
                <w:rFonts w:ascii="仿宋_GB2312" w:eastAsia="仿宋_GB2312" w:cs="仿宋_GB2312" w:hint="eastAsia"/>
                <w:sz w:val="28"/>
                <w:szCs w:val="28"/>
              </w:rPr>
              <w:t>1</w:t>
            </w:r>
          </w:p>
        </w:tc>
        <w:tc>
          <w:tcPr>
            <w:tcW w:w="1945" w:type="pct"/>
            <w:vAlign w:val="center"/>
          </w:tcPr>
          <w:p w:rsidR="00BD475A" w:rsidRDefault="00BD475A">
            <w:pPr>
              <w:snapToGrid w:val="0"/>
              <w:jc w:val="center"/>
              <w:rPr>
                <w:rFonts w:ascii="仿宋_GB2312" w:eastAsia="仿宋_GB2312" w:cs="仿宋_GB2312"/>
                <w:sz w:val="28"/>
                <w:szCs w:val="28"/>
              </w:rPr>
            </w:pPr>
            <w:r>
              <w:rPr>
                <w:rFonts w:ascii="仿宋_GB2312" w:eastAsia="仿宋_GB2312" w:cs="仿宋_GB2312" w:hint="eastAsia"/>
                <w:sz w:val="28"/>
                <w:szCs w:val="28"/>
              </w:rPr>
              <w:t>文件快递服务</w:t>
            </w:r>
          </w:p>
        </w:tc>
        <w:tc>
          <w:tcPr>
            <w:tcW w:w="1188" w:type="pct"/>
            <w:vAlign w:val="center"/>
          </w:tcPr>
          <w:p w:rsidR="00BD475A" w:rsidRDefault="00BD475A">
            <w:pPr>
              <w:snapToGrid w:val="0"/>
              <w:jc w:val="center"/>
              <w:rPr>
                <w:rFonts w:ascii="仿宋_GB2312" w:eastAsia="仿宋_GB2312" w:cs="仿宋_GB2312"/>
                <w:sz w:val="28"/>
                <w:szCs w:val="28"/>
              </w:rPr>
            </w:pPr>
            <w:r>
              <w:rPr>
                <w:rFonts w:ascii="仿宋_GB2312" w:eastAsia="仿宋_GB2312" w:cs="仿宋_GB2312" w:hint="eastAsia"/>
                <w:sz w:val="28"/>
                <w:szCs w:val="28"/>
              </w:rPr>
              <w:t>月结</w:t>
            </w:r>
          </w:p>
        </w:tc>
        <w:tc>
          <w:tcPr>
            <w:tcW w:w="1296" w:type="pct"/>
            <w:vAlign w:val="center"/>
          </w:tcPr>
          <w:p w:rsidR="00BD475A" w:rsidRDefault="00BD475A">
            <w:pPr>
              <w:snapToGrid w:val="0"/>
              <w:jc w:val="center"/>
              <w:rPr>
                <w:rFonts w:ascii="仿宋_GB2312" w:eastAsia="仿宋_GB2312" w:cs="仿宋_GB2312"/>
                <w:sz w:val="28"/>
                <w:szCs w:val="28"/>
              </w:rPr>
            </w:pPr>
            <w:r>
              <w:rPr>
                <w:rFonts w:ascii="仿宋_GB2312" w:eastAsia="仿宋_GB2312" w:cs="仿宋_GB2312" w:hint="eastAsia"/>
                <w:sz w:val="28"/>
                <w:szCs w:val="28"/>
              </w:rPr>
              <w:t>竞争性谈判</w:t>
            </w:r>
          </w:p>
        </w:tc>
      </w:tr>
    </w:tbl>
    <w:p w:rsidR="00F57C24" w:rsidRDefault="0091029E">
      <w:pPr>
        <w:ind w:firstLineChars="200" w:firstLine="640"/>
        <w:outlineLvl w:val="0"/>
        <w:rPr>
          <w:rFonts w:ascii="黑体" w:eastAsia="黑体"/>
          <w:sz w:val="32"/>
          <w:szCs w:val="32"/>
        </w:rPr>
      </w:pPr>
      <w:r>
        <w:rPr>
          <w:rFonts w:ascii="黑体" w:eastAsia="黑体" w:hint="eastAsia"/>
          <w:sz w:val="32"/>
          <w:szCs w:val="32"/>
        </w:rPr>
        <w:t>三、供应商资格条件</w:t>
      </w:r>
      <w:bookmarkEnd w:id="0"/>
    </w:p>
    <w:p w:rsidR="00F57C24" w:rsidRDefault="0091029E">
      <w:pPr>
        <w:ind w:firstLineChars="200" w:firstLine="640"/>
        <w:outlineLvl w:val="1"/>
        <w:rPr>
          <w:rFonts w:ascii="仿宋_GB2312" w:eastAsia="仿宋_GB2312"/>
          <w:sz w:val="32"/>
          <w:szCs w:val="32"/>
        </w:rPr>
      </w:pPr>
      <w:r>
        <w:rPr>
          <w:rFonts w:ascii="仿宋_GB2312" w:eastAsia="仿宋_GB2312" w:hint="eastAsia"/>
          <w:sz w:val="32"/>
          <w:szCs w:val="32"/>
        </w:rPr>
        <w:t>1、具有合法有效的营业执照；</w:t>
      </w:r>
    </w:p>
    <w:p w:rsidR="00F57C24" w:rsidRDefault="0091029E">
      <w:pPr>
        <w:ind w:firstLineChars="200" w:firstLine="640"/>
        <w:outlineLvl w:val="1"/>
        <w:rPr>
          <w:rFonts w:ascii="仿宋_GB2312" w:eastAsia="仿宋_GB2312"/>
          <w:sz w:val="32"/>
          <w:szCs w:val="32"/>
        </w:rPr>
      </w:pPr>
      <w:r>
        <w:rPr>
          <w:rFonts w:ascii="仿宋_GB2312" w:eastAsia="仿宋_GB2312" w:hint="eastAsia"/>
          <w:sz w:val="32"/>
          <w:szCs w:val="32"/>
        </w:rPr>
        <w:t>2、具有独立承担民事责任的能力；</w:t>
      </w:r>
    </w:p>
    <w:p w:rsidR="00F57C24" w:rsidRDefault="0091029E">
      <w:pPr>
        <w:ind w:firstLineChars="200" w:firstLine="640"/>
        <w:outlineLvl w:val="1"/>
        <w:rPr>
          <w:rFonts w:ascii="仿宋_GB2312" w:eastAsia="仿宋_GB2312"/>
          <w:sz w:val="32"/>
          <w:szCs w:val="32"/>
        </w:rPr>
      </w:pPr>
      <w:r>
        <w:rPr>
          <w:rFonts w:ascii="仿宋_GB2312" w:eastAsia="仿宋_GB2312" w:hint="eastAsia"/>
          <w:sz w:val="32"/>
          <w:szCs w:val="32"/>
        </w:rPr>
        <w:t>3、有良好的商业信誉和健全的财务会计制度；</w:t>
      </w:r>
    </w:p>
    <w:p w:rsidR="00F57C24" w:rsidRDefault="0091029E">
      <w:pPr>
        <w:ind w:firstLineChars="200" w:firstLine="640"/>
        <w:outlineLvl w:val="1"/>
        <w:rPr>
          <w:rFonts w:ascii="仿宋_GB2312" w:eastAsia="仿宋_GB2312"/>
          <w:sz w:val="32"/>
          <w:szCs w:val="32"/>
        </w:rPr>
      </w:pPr>
      <w:r>
        <w:rPr>
          <w:rFonts w:ascii="仿宋_GB2312" w:eastAsia="仿宋_GB2312" w:hint="eastAsia"/>
          <w:sz w:val="32"/>
          <w:szCs w:val="32"/>
        </w:rPr>
        <w:t>4、具有履行合同所必需的场地、设备和专业技术能力；</w:t>
      </w:r>
    </w:p>
    <w:p w:rsidR="00F57C24" w:rsidRDefault="0091029E">
      <w:pPr>
        <w:ind w:firstLineChars="200" w:firstLine="640"/>
        <w:outlineLvl w:val="1"/>
        <w:rPr>
          <w:rFonts w:ascii="仿宋_GB2312" w:eastAsia="仿宋_GB2312"/>
          <w:sz w:val="32"/>
          <w:szCs w:val="32"/>
        </w:rPr>
      </w:pPr>
      <w:r>
        <w:rPr>
          <w:rFonts w:ascii="仿宋_GB2312" w:eastAsia="仿宋_GB2312" w:hint="eastAsia"/>
          <w:sz w:val="32"/>
          <w:szCs w:val="32"/>
        </w:rPr>
        <w:t>5、有依法缴纳税收和社会保障资金的良好记录；</w:t>
      </w:r>
    </w:p>
    <w:p w:rsidR="00F57C24" w:rsidRDefault="0091029E">
      <w:pPr>
        <w:ind w:firstLineChars="200" w:firstLine="640"/>
        <w:outlineLvl w:val="1"/>
        <w:rPr>
          <w:rFonts w:ascii="仿宋_GB2312" w:eastAsia="仿宋_GB2312"/>
          <w:sz w:val="32"/>
          <w:szCs w:val="32"/>
        </w:rPr>
      </w:pPr>
      <w:r>
        <w:rPr>
          <w:rFonts w:ascii="仿宋_GB2312" w:eastAsia="仿宋_GB2312" w:hint="eastAsia"/>
          <w:sz w:val="32"/>
          <w:szCs w:val="32"/>
        </w:rPr>
        <w:t>6、三年内在经营活动中没有重大违法记录。</w:t>
      </w:r>
      <w:bookmarkStart w:id="1" w:name="_Toc112767764"/>
    </w:p>
    <w:p w:rsidR="00F57C24" w:rsidRDefault="0091029E">
      <w:pPr>
        <w:ind w:firstLineChars="200" w:firstLine="640"/>
        <w:outlineLvl w:val="0"/>
        <w:rPr>
          <w:rFonts w:ascii="黑体" w:eastAsia="黑体"/>
          <w:sz w:val="32"/>
          <w:szCs w:val="32"/>
        </w:rPr>
      </w:pPr>
      <w:bookmarkStart w:id="2" w:name="_Toc112767765"/>
      <w:bookmarkEnd w:id="1"/>
      <w:r>
        <w:rPr>
          <w:rFonts w:ascii="黑体" w:eastAsia="黑体" w:hint="eastAsia"/>
          <w:sz w:val="32"/>
          <w:szCs w:val="32"/>
        </w:rPr>
        <w:t>四、响应文件提交</w:t>
      </w:r>
      <w:bookmarkEnd w:id="2"/>
    </w:p>
    <w:p w:rsidR="00F57C24" w:rsidRDefault="0091029E">
      <w:pPr>
        <w:ind w:firstLineChars="200" w:firstLine="640"/>
        <w:rPr>
          <w:rFonts w:ascii="仿宋_GB2312" w:eastAsia="仿宋_GB2312"/>
          <w:sz w:val="32"/>
          <w:szCs w:val="32"/>
        </w:rPr>
      </w:pPr>
      <w:r>
        <w:rPr>
          <w:rFonts w:ascii="仿宋_GB2312" w:eastAsia="仿宋_GB2312" w:hint="eastAsia"/>
          <w:sz w:val="32"/>
          <w:szCs w:val="32"/>
        </w:rPr>
        <w:t>1、响应时间与方式：供应商应在收到采购文件后10个</w:t>
      </w:r>
      <w:r>
        <w:rPr>
          <w:rFonts w:ascii="仿宋_GB2312" w:eastAsia="仿宋_GB2312" w:hint="eastAsia"/>
          <w:sz w:val="32"/>
          <w:szCs w:val="32"/>
        </w:rPr>
        <w:lastRenderedPageBreak/>
        <w:t>自然日内将</w:t>
      </w:r>
      <w:r w:rsidR="002738AC">
        <w:rPr>
          <w:rFonts w:ascii="仿宋_GB2312" w:eastAsia="仿宋_GB2312" w:hint="eastAsia"/>
          <w:sz w:val="32"/>
          <w:szCs w:val="32"/>
        </w:rPr>
        <w:t>派送范围及相应报价单</w:t>
      </w:r>
      <w:r>
        <w:rPr>
          <w:rFonts w:ascii="仿宋_GB2312" w:eastAsia="仿宋_GB2312" w:hint="eastAsia"/>
          <w:sz w:val="32"/>
          <w:szCs w:val="32"/>
        </w:rPr>
        <w:t>发送至邮箱</w:t>
      </w:r>
      <w:r w:rsidR="002738AC">
        <w:rPr>
          <w:rFonts w:ascii="仿宋_GB2312" w:eastAsia="仿宋_GB2312" w:hint="eastAsia"/>
          <w:sz w:val="32"/>
          <w:szCs w:val="32"/>
        </w:rPr>
        <w:t>：</w:t>
      </w:r>
      <w:hyperlink r:id="rId7" w:history="1">
        <w:r w:rsidR="002738AC" w:rsidRPr="008B2121">
          <w:rPr>
            <w:rStyle w:val="aa"/>
            <w:rFonts w:ascii="仿宋_GB2312" w:eastAsia="仿宋_GB2312" w:hint="eastAsia"/>
            <w:sz w:val="32"/>
            <w:szCs w:val="32"/>
          </w:rPr>
          <w:t>liuzhc@cmdm.org.cn</w:t>
        </w:r>
      </w:hyperlink>
      <w:r w:rsidR="002738AC">
        <w:rPr>
          <w:rFonts w:ascii="仿宋_GB2312" w:eastAsia="仿宋_GB2312" w:hint="eastAsia"/>
          <w:sz w:val="32"/>
          <w:szCs w:val="32"/>
        </w:rPr>
        <w:t>，我司将根据收到报价单预约负责派送聚杰金融大厦的快递人员现场谈判</w:t>
      </w:r>
      <w:r>
        <w:rPr>
          <w:rFonts w:ascii="仿宋_GB2312" w:eastAsia="仿宋_GB2312" w:hint="eastAsia"/>
          <w:sz w:val="32"/>
          <w:szCs w:val="32"/>
        </w:rPr>
        <w:t>。</w:t>
      </w:r>
    </w:p>
    <w:p w:rsidR="00F57C24" w:rsidRDefault="0091029E">
      <w:pPr>
        <w:ind w:firstLineChars="200" w:firstLine="640"/>
        <w:rPr>
          <w:rFonts w:ascii="仿宋_GB2312" w:eastAsia="仿宋_GB2312"/>
          <w:sz w:val="32"/>
          <w:szCs w:val="32"/>
        </w:rPr>
      </w:pPr>
      <w:r>
        <w:rPr>
          <w:rFonts w:ascii="仿宋_GB2312" w:eastAsia="仿宋_GB2312" w:hint="eastAsia"/>
          <w:sz w:val="32"/>
          <w:szCs w:val="32"/>
        </w:rPr>
        <w:t>2、本项目不接受联合体报价。</w:t>
      </w:r>
    </w:p>
    <w:p w:rsidR="00F57C24" w:rsidRDefault="0091029E">
      <w:pPr>
        <w:ind w:firstLineChars="200" w:firstLine="640"/>
        <w:outlineLvl w:val="0"/>
        <w:rPr>
          <w:rFonts w:ascii="黑体" w:eastAsia="黑体"/>
          <w:sz w:val="32"/>
          <w:szCs w:val="32"/>
        </w:rPr>
      </w:pPr>
      <w:r>
        <w:rPr>
          <w:rFonts w:ascii="黑体" w:eastAsia="黑体" w:hint="eastAsia"/>
          <w:sz w:val="32"/>
          <w:szCs w:val="32"/>
        </w:rPr>
        <w:t>五、采购谈判与评审</w:t>
      </w:r>
    </w:p>
    <w:p w:rsidR="00F57C24" w:rsidRDefault="0091029E">
      <w:pPr>
        <w:ind w:firstLineChars="200" w:firstLine="640"/>
        <w:rPr>
          <w:rFonts w:ascii="仿宋_GB2312" w:eastAsia="仿宋_GB2312"/>
          <w:sz w:val="32"/>
          <w:szCs w:val="32"/>
        </w:rPr>
      </w:pPr>
      <w:r>
        <w:rPr>
          <w:rFonts w:ascii="仿宋_GB2312" w:eastAsia="仿宋_GB2312" w:hint="eastAsia"/>
          <w:sz w:val="32"/>
          <w:szCs w:val="32"/>
        </w:rPr>
        <w:t>1、采购单位将根据响应文件的报价与供应商逐一进行线上或线下磋商。具体时间、方式另行通知。</w:t>
      </w:r>
    </w:p>
    <w:p w:rsidR="00F57C24" w:rsidRDefault="0091029E">
      <w:pPr>
        <w:ind w:firstLineChars="200" w:firstLine="640"/>
        <w:rPr>
          <w:rFonts w:ascii="黑体" w:eastAsia="仿宋_GB2312"/>
          <w:sz w:val="32"/>
          <w:szCs w:val="32"/>
        </w:rPr>
      </w:pPr>
      <w:r>
        <w:rPr>
          <w:rFonts w:ascii="仿宋_GB2312" w:eastAsia="仿宋_GB2312" w:hint="eastAsia"/>
          <w:sz w:val="32"/>
          <w:szCs w:val="32"/>
        </w:rPr>
        <w:t>2、评审：采购单位按照评审标准（</w:t>
      </w:r>
      <w:r w:rsidR="00BA5473">
        <w:rPr>
          <w:rFonts w:ascii="仿宋_GB2312" w:eastAsia="仿宋_GB2312" w:hint="eastAsia"/>
          <w:sz w:val="32"/>
          <w:szCs w:val="32"/>
        </w:rPr>
        <w:t>详</w:t>
      </w:r>
      <w:bookmarkStart w:id="3" w:name="_GoBack"/>
      <w:bookmarkEnd w:id="3"/>
      <w:r>
        <w:rPr>
          <w:rFonts w:ascii="仿宋_GB2312" w:eastAsia="仿宋_GB2312" w:hint="eastAsia"/>
          <w:sz w:val="32"/>
          <w:szCs w:val="32"/>
        </w:rPr>
        <w:t>见附件）对供应商进行综合评分，确定成交供应商，签订合同</w:t>
      </w:r>
      <w:bookmarkStart w:id="4" w:name="_Toc112767766"/>
      <w:r>
        <w:rPr>
          <w:rFonts w:ascii="仿宋_GB2312" w:eastAsia="仿宋_GB2312" w:hint="eastAsia"/>
          <w:sz w:val="32"/>
          <w:szCs w:val="32"/>
        </w:rPr>
        <w:t>。</w:t>
      </w:r>
      <w:bookmarkEnd w:id="4"/>
    </w:p>
    <w:p w:rsidR="00F57C24" w:rsidRDefault="0091029E">
      <w:pPr>
        <w:ind w:firstLineChars="200" w:firstLine="640"/>
        <w:outlineLvl w:val="0"/>
        <w:rPr>
          <w:rFonts w:ascii="黑体" w:eastAsia="黑体"/>
          <w:sz w:val="32"/>
          <w:szCs w:val="32"/>
        </w:rPr>
      </w:pPr>
      <w:bookmarkStart w:id="5" w:name="_Toc112767767"/>
      <w:r>
        <w:rPr>
          <w:rFonts w:ascii="黑体" w:eastAsia="黑体" w:hint="eastAsia"/>
          <w:sz w:val="32"/>
          <w:szCs w:val="32"/>
        </w:rPr>
        <w:t>六、联系方式：</w:t>
      </w:r>
    </w:p>
    <w:p w:rsidR="00F57C24" w:rsidRDefault="0091029E">
      <w:pPr>
        <w:widowControl/>
        <w:ind w:firstLineChars="200" w:firstLine="640"/>
        <w:jc w:val="left"/>
        <w:rPr>
          <w:rFonts w:ascii="仿宋_GB2312" w:eastAsia="仿宋_GB2312"/>
          <w:sz w:val="32"/>
          <w:szCs w:val="32"/>
        </w:rPr>
      </w:pPr>
      <w:r>
        <w:rPr>
          <w:rFonts w:ascii="仿宋_GB2312" w:eastAsia="仿宋_GB2312" w:hint="eastAsia"/>
          <w:sz w:val="32"/>
          <w:szCs w:val="32"/>
        </w:rPr>
        <w:t>若对本次采购存在疑问，请按以下方式联系。</w:t>
      </w:r>
    </w:p>
    <w:p w:rsidR="00F57C24" w:rsidRDefault="0091029E">
      <w:pPr>
        <w:widowControl/>
        <w:ind w:firstLineChars="200" w:firstLine="640"/>
        <w:jc w:val="left"/>
        <w:rPr>
          <w:rFonts w:ascii="仿宋_GB2312" w:eastAsia="仿宋_GB2312"/>
          <w:sz w:val="32"/>
          <w:szCs w:val="32"/>
        </w:rPr>
      </w:pPr>
      <w:r>
        <w:rPr>
          <w:rFonts w:ascii="仿宋_GB2312" w:eastAsia="仿宋_GB2312" w:hint="eastAsia"/>
          <w:sz w:val="32"/>
          <w:szCs w:val="32"/>
        </w:rPr>
        <w:t>联 系 人：</w:t>
      </w:r>
      <w:r w:rsidR="002738AC">
        <w:rPr>
          <w:rFonts w:ascii="仿宋_GB2312" w:eastAsia="仿宋_GB2312" w:hint="eastAsia"/>
          <w:sz w:val="32"/>
          <w:szCs w:val="32"/>
        </w:rPr>
        <w:t>赵帅</w:t>
      </w:r>
    </w:p>
    <w:p w:rsidR="00F57C24" w:rsidRDefault="0091029E">
      <w:pPr>
        <w:widowControl/>
        <w:ind w:firstLineChars="200" w:firstLine="640"/>
        <w:jc w:val="left"/>
        <w:rPr>
          <w:rFonts w:ascii="仿宋_GB2312" w:eastAsia="仿宋_GB2312"/>
          <w:sz w:val="32"/>
          <w:szCs w:val="32"/>
        </w:rPr>
      </w:pPr>
      <w:r>
        <w:rPr>
          <w:rFonts w:ascii="仿宋_GB2312" w:eastAsia="仿宋_GB2312" w:hint="eastAsia"/>
          <w:sz w:val="32"/>
          <w:szCs w:val="32"/>
        </w:rPr>
        <w:t>联系电话：</w:t>
      </w:r>
      <w:r w:rsidR="002738AC">
        <w:rPr>
          <w:rFonts w:ascii="仿宋_GB2312" w:eastAsia="仿宋_GB2312"/>
          <w:sz w:val="32"/>
          <w:szCs w:val="32"/>
        </w:rPr>
        <w:t>010-83897887</w:t>
      </w:r>
    </w:p>
    <w:p w:rsidR="00F57C24" w:rsidRDefault="0091029E">
      <w:pPr>
        <w:widowControl/>
        <w:ind w:firstLineChars="200" w:firstLine="640"/>
        <w:jc w:val="left"/>
        <w:rPr>
          <w:rFonts w:ascii="仿宋_GB2312" w:eastAsia="仿宋_GB2312"/>
          <w:sz w:val="32"/>
          <w:szCs w:val="32"/>
        </w:rPr>
      </w:pPr>
      <w:r>
        <w:rPr>
          <w:rFonts w:ascii="仿宋_GB2312" w:eastAsia="仿宋_GB2312" w:hint="eastAsia"/>
          <w:sz w:val="32"/>
          <w:szCs w:val="32"/>
        </w:rPr>
        <w:t>联系地址：北京市</w:t>
      </w:r>
      <w:r w:rsidR="002738AC">
        <w:rPr>
          <w:rFonts w:ascii="仿宋_GB2312" w:eastAsia="仿宋_GB2312" w:hint="eastAsia"/>
          <w:sz w:val="32"/>
          <w:szCs w:val="32"/>
        </w:rPr>
        <w:t>丰台区丽泽路1</w:t>
      </w:r>
      <w:r w:rsidR="002738AC">
        <w:rPr>
          <w:rFonts w:ascii="仿宋_GB2312" w:eastAsia="仿宋_GB2312"/>
          <w:sz w:val="32"/>
          <w:szCs w:val="32"/>
        </w:rPr>
        <w:t>6</w:t>
      </w:r>
      <w:r w:rsidR="002738AC">
        <w:rPr>
          <w:rFonts w:ascii="仿宋_GB2312" w:eastAsia="仿宋_GB2312" w:hint="eastAsia"/>
          <w:sz w:val="32"/>
          <w:szCs w:val="32"/>
        </w:rPr>
        <w:t>号院3号楼聚杰金融大厦1</w:t>
      </w:r>
      <w:r w:rsidR="002738AC">
        <w:rPr>
          <w:rFonts w:ascii="仿宋_GB2312" w:eastAsia="仿宋_GB2312"/>
          <w:sz w:val="32"/>
          <w:szCs w:val="32"/>
        </w:rPr>
        <w:t>4</w:t>
      </w:r>
      <w:r w:rsidR="002738AC">
        <w:rPr>
          <w:rFonts w:ascii="仿宋_GB2312" w:eastAsia="仿宋_GB2312" w:hint="eastAsia"/>
          <w:sz w:val="32"/>
          <w:szCs w:val="32"/>
        </w:rPr>
        <w:t>层</w:t>
      </w:r>
    </w:p>
    <w:p w:rsidR="00F57C24" w:rsidRDefault="00F57C24">
      <w:pPr>
        <w:widowControl/>
        <w:ind w:firstLineChars="200" w:firstLine="640"/>
        <w:jc w:val="left"/>
        <w:rPr>
          <w:rFonts w:ascii="仿宋_GB2312" w:eastAsia="仿宋_GB2312"/>
          <w:sz w:val="32"/>
          <w:szCs w:val="32"/>
        </w:rPr>
      </w:pPr>
    </w:p>
    <w:p w:rsidR="00864520" w:rsidRDefault="00864520" w:rsidP="002738AC">
      <w:pPr>
        <w:ind w:leftChars="304" w:left="1598" w:hangingChars="300" w:hanging="960"/>
        <w:rPr>
          <w:rFonts w:ascii="仿宋_GB2312" w:eastAsia="仿宋_GB2312"/>
          <w:sz w:val="32"/>
          <w:szCs w:val="32"/>
        </w:rPr>
      </w:pPr>
    </w:p>
    <w:p w:rsidR="00864520" w:rsidRDefault="00864520" w:rsidP="002738AC">
      <w:pPr>
        <w:ind w:leftChars="304" w:left="1598" w:hangingChars="300" w:hanging="960"/>
        <w:rPr>
          <w:rFonts w:ascii="仿宋_GB2312" w:eastAsia="仿宋_GB2312"/>
          <w:sz w:val="32"/>
          <w:szCs w:val="32"/>
        </w:rPr>
      </w:pPr>
    </w:p>
    <w:p w:rsidR="00864520" w:rsidRDefault="00864520" w:rsidP="002738AC">
      <w:pPr>
        <w:ind w:leftChars="304" w:left="1598" w:hangingChars="300" w:hanging="960"/>
        <w:rPr>
          <w:rFonts w:ascii="仿宋_GB2312" w:eastAsia="仿宋_GB2312"/>
          <w:sz w:val="32"/>
          <w:szCs w:val="32"/>
        </w:rPr>
      </w:pPr>
    </w:p>
    <w:p w:rsidR="00F57C24" w:rsidRDefault="0091029E" w:rsidP="002738AC">
      <w:pPr>
        <w:ind w:leftChars="304" w:left="1598" w:hangingChars="300" w:hanging="960"/>
        <w:rPr>
          <w:rFonts w:ascii="仿宋_GB2312" w:eastAsia="仿宋_GB2312"/>
          <w:sz w:val="32"/>
          <w:szCs w:val="32"/>
        </w:rPr>
      </w:pPr>
      <w:r>
        <w:rPr>
          <w:rFonts w:ascii="仿宋_GB2312" w:eastAsia="仿宋_GB2312" w:hint="eastAsia"/>
          <w:sz w:val="32"/>
          <w:szCs w:val="32"/>
        </w:rPr>
        <w:t>附件：</w:t>
      </w:r>
      <w:r w:rsidR="00BD475A">
        <w:rPr>
          <w:rFonts w:ascii="仿宋_GB2312" w:eastAsia="仿宋_GB2312" w:hint="eastAsia"/>
          <w:sz w:val="32"/>
          <w:szCs w:val="32"/>
        </w:rPr>
        <w:t>中证机构间报价系统股份有限公司</w:t>
      </w:r>
      <w:r w:rsidR="002738AC">
        <w:rPr>
          <w:rFonts w:ascii="仿宋_GB2312" w:eastAsia="仿宋_GB2312" w:hint="eastAsia"/>
          <w:sz w:val="32"/>
          <w:szCs w:val="32"/>
        </w:rPr>
        <w:t>快递</w:t>
      </w:r>
      <w:r>
        <w:rPr>
          <w:rFonts w:ascii="仿宋_GB2312" w:eastAsia="仿宋_GB2312" w:hint="eastAsia"/>
          <w:sz w:val="32"/>
          <w:szCs w:val="32"/>
        </w:rPr>
        <w:t>服务采购评审标准</w:t>
      </w:r>
    </w:p>
    <w:p w:rsidR="00F57C24" w:rsidRDefault="0091029E">
      <w:pPr>
        <w:rPr>
          <w:rFonts w:ascii="黑体" w:eastAsia="黑体" w:cs="黑体"/>
          <w:sz w:val="32"/>
          <w:szCs w:val="32"/>
        </w:rPr>
      </w:pPr>
      <w:r>
        <w:rPr>
          <w:rFonts w:ascii="黑体" w:eastAsia="黑体" w:cs="黑体" w:hint="eastAsia"/>
          <w:sz w:val="32"/>
          <w:szCs w:val="32"/>
        </w:rPr>
        <w:br w:type="page"/>
      </w:r>
      <w:r>
        <w:rPr>
          <w:rFonts w:ascii="黑体" w:eastAsia="黑体" w:cs="黑体" w:hint="eastAsia"/>
          <w:sz w:val="32"/>
          <w:szCs w:val="32"/>
        </w:rPr>
        <w:lastRenderedPageBreak/>
        <w:t>附件</w:t>
      </w:r>
    </w:p>
    <w:bookmarkEnd w:id="5"/>
    <w:p w:rsidR="00F57C24" w:rsidRDefault="0091029E">
      <w:pPr>
        <w:jc w:val="center"/>
        <w:rPr>
          <w:rFonts w:ascii="楷体_GB2312" w:eastAsia="楷体_GB2312"/>
          <w:sz w:val="30"/>
          <w:szCs w:val="30"/>
        </w:rPr>
      </w:pPr>
      <w:r>
        <w:rPr>
          <w:rFonts w:ascii="华文中宋" w:eastAsia="华文中宋" w:hAnsi="华文中宋" w:hint="eastAsia"/>
          <w:b/>
          <w:sz w:val="36"/>
          <w:szCs w:val="36"/>
        </w:rPr>
        <w:t>项目评审表</w:t>
      </w:r>
    </w:p>
    <w:p w:rsidR="00F57C24" w:rsidRDefault="00F57C2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676"/>
        <w:gridCol w:w="1920"/>
        <w:gridCol w:w="1170"/>
        <w:gridCol w:w="3845"/>
      </w:tblGrid>
      <w:tr w:rsidR="00F57C24">
        <w:trPr>
          <w:jc w:val="center"/>
        </w:trPr>
        <w:tc>
          <w:tcPr>
            <w:tcW w:w="853" w:type="dxa"/>
            <w:vAlign w:val="center"/>
          </w:tcPr>
          <w:p w:rsidR="00F57C24" w:rsidRDefault="0091029E">
            <w:pPr>
              <w:jc w:val="center"/>
              <w:rPr>
                <w:rFonts w:ascii="楷体_GB2312" w:eastAsia="楷体_GB2312"/>
                <w:b/>
                <w:kern w:val="0"/>
                <w:sz w:val="30"/>
                <w:szCs w:val="30"/>
              </w:rPr>
            </w:pPr>
            <w:r>
              <w:rPr>
                <w:rFonts w:ascii="楷体_GB2312" w:eastAsia="楷体_GB2312" w:hint="eastAsia"/>
                <w:b/>
                <w:kern w:val="0"/>
                <w:sz w:val="30"/>
                <w:szCs w:val="30"/>
              </w:rPr>
              <w:t>序号</w:t>
            </w:r>
          </w:p>
        </w:tc>
        <w:tc>
          <w:tcPr>
            <w:tcW w:w="1676" w:type="dxa"/>
            <w:vAlign w:val="center"/>
          </w:tcPr>
          <w:p w:rsidR="00F57C24" w:rsidRDefault="0091029E">
            <w:pPr>
              <w:jc w:val="center"/>
              <w:rPr>
                <w:rFonts w:ascii="楷体_GB2312" w:eastAsia="楷体_GB2312"/>
                <w:b/>
                <w:kern w:val="0"/>
                <w:sz w:val="30"/>
                <w:szCs w:val="30"/>
              </w:rPr>
            </w:pPr>
            <w:r>
              <w:rPr>
                <w:rFonts w:ascii="楷体_GB2312" w:eastAsia="楷体_GB2312" w:hint="eastAsia"/>
                <w:b/>
                <w:kern w:val="0"/>
                <w:sz w:val="30"/>
                <w:szCs w:val="30"/>
              </w:rPr>
              <w:t>评</w:t>
            </w:r>
            <w:r w:rsidR="00821138">
              <w:rPr>
                <w:rFonts w:ascii="楷体_GB2312" w:eastAsia="楷体_GB2312" w:hint="eastAsia"/>
                <w:b/>
                <w:kern w:val="0"/>
                <w:sz w:val="30"/>
                <w:szCs w:val="30"/>
              </w:rPr>
              <w:t>分项</w:t>
            </w:r>
          </w:p>
        </w:tc>
        <w:tc>
          <w:tcPr>
            <w:tcW w:w="1920" w:type="dxa"/>
            <w:vAlign w:val="center"/>
          </w:tcPr>
          <w:p w:rsidR="00F57C24" w:rsidRDefault="0091029E">
            <w:pPr>
              <w:jc w:val="center"/>
              <w:rPr>
                <w:rFonts w:ascii="楷体_GB2312" w:eastAsia="楷体_GB2312"/>
                <w:b/>
                <w:kern w:val="0"/>
                <w:sz w:val="30"/>
                <w:szCs w:val="30"/>
              </w:rPr>
            </w:pPr>
            <w:r>
              <w:rPr>
                <w:rFonts w:ascii="楷体_GB2312" w:eastAsia="楷体_GB2312" w:hint="eastAsia"/>
                <w:b/>
                <w:kern w:val="0"/>
                <w:sz w:val="30"/>
                <w:szCs w:val="30"/>
              </w:rPr>
              <w:t>权重</w:t>
            </w:r>
          </w:p>
        </w:tc>
        <w:tc>
          <w:tcPr>
            <w:tcW w:w="1170" w:type="dxa"/>
            <w:vAlign w:val="center"/>
          </w:tcPr>
          <w:p w:rsidR="00F57C24" w:rsidRDefault="0091029E">
            <w:pPr>
              <w:jc w:val="center"/>
              <w:rPr>
                <w:rFonts w:ascii="楷体_GB2312" w:eastAsia="楷体_GB2312"/>
                <w:b/>
                <w:kern w:val="0"/>
                <w:sz w:val="30"/>
                <w:szCs w:val="30"/>
              </w:rPr>
            </w:pPr>
            <w:r>
              <w:rPr>
                <w:rFonts w:ascii="楷体_GB2312" w:eastAsia="楷体_GB2312" w:hint="eastAsia"/>
                <w:b/>
                <w:kern w:val="0"/>
                <w:sz w:val="30"/>
                <w:szCs w:val="30"/>
              </w:rPr>
              <w:t>得分</w:t>
            </w:r>
          </w:p>
        </w:tc>
        <w:tc>
          <w:tcPr>
            <w:tcW w:w="3845" w:type="dxa"/>
            <w:vAlign w:val="center"/>
          </w:tcPr>
          <w:p w:rsidR="00F57C24" w:rsidRDefault="0091029E">
            <w:pPr>
              <w:jc w:val="center"/>
              <w:rPr>
                <w:rFonts w:ascii="楷体_GB2312" w:eastAsia="楷体_GB2312"/>
                <w:b/>
                <w:kern w:val="0"/>
                <w:sz w:val="30"/>
                <w:szCs w:val="30"/>
              </w:rPr>
            </w:pPr>
            <w:r>
              <w:rPr>
                <w:rFonts w:ascii="楷体_GB2312" w:eastAsia="楷体_GB2312" w:hint="eastAsia"/>
                <w:b/>
                <w:kern w:val="0"/>
                <w:sz w:val="30"/>
                <w:szCs w:val="30"/>
              </w:rPr>
              <w:t>评分标准</w:t>
            </w:r>
          </w:p>
        </w:tc>
      </w:tr>
      <w:tr w:rsidR="00F57C24">
        <w:trPr>
          <w:trHeight w:val="1533"/>
          <w:jc w:val="center"/>
        </w:trPr>
        <w:tc>
          <w:tcPr>
            <w:tcW w:w="853" w:type="dxa"/>
            <w:vAlign w:val="center"/>
          </w:tcPr>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p>
        </w:tc>
        <w:tc>
          <w:tcPr>
            <w:tcW w:w="1676" w:type="dxa"/>
            <w:vAlign w:val="center"/>
          </w:tcPr>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报价评价</w:t>
            </w:r>
          </w:p>
        </w:tc>
        <w:tc>
          <w:tcPr>
            <w:tcW w:w="1920" w:type="dxa"/>
            <w:vAlign w:val="center"/>
          </w:tcPr>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80%</w:t>
            </w:r>
          </w:p>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（满分80分）</w:t>
            </w:r>
          </w:p>
        </w:tc>
        <w:tc>
          <w:tcPr>
            <w:tcW w:w="1170" w:type="dxa"/>
            <w:vAlign w:val="center"/>
          </w:tcPr>
          <w:p w:rsidR="00F57C24" w:rsidRDefault="00F57C24">
            <w:pPr>
              <w:snapToGrid w:val="0"/>
              <w:spacing w:line="312" w:lineRule="auto"/>
              <w:jc w:val="center"/>
              <w:rPr>
                <w:rFonts w:ascii="方正仿宋_GBK" w:eastAsia="方正仿宋_GBK" w:hAnsi="方正仿宋_GBK" w:cs="方正仿宋_GBK"/>
                <w:color w:val="000000"/>
                <w:kern w:val="0"/>
                <w:sz w:val="28"/>
                <w:szCs w:val="28"/>
              </w:rPr>
            </w:pPr>
          </w:p>
        </w:tc>
        <w:tc>
          <w:tcPr>
            <w:tcW w:w="3845" w:type="dxa"/>
            <w:vAlign w:val="center"/>
          </w:tcPr>
          <w:p w:rsidR="00F57C24" w:rsidRDefault="0091029E" w:rsidP="00864520">
            <w:pPr>
              <w:snapToGrid w:val="0"/>
              <w:spacing w:line="312" w:lineRule="auto"/>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以</w:t>
            </w:r>
            <w:r w:rsidR="00864520">
              <w:rPr>
                <w:rFonts w:ascii="方正仿宋_GBK" w:eastAsia="方正仿宋_GBK" w:hAnsi="方正仿宋_GBK" w:cs="方正仿宋_GBK" w:hint="eastAsia"/>
                <w:color w:val="000000"/>
                <w:kern w:val="0"/>
                <w:sz w:val="24"/>
                <w:szCs w:val="24"/>
              </w:rPr>
              <w:t>北京市内派送文件的</w:t>
            </w:r>
            <w:r>
              <w:rPr>
                <w:rFonts w:ascii="方正仿宋_GBK" w:eastAsia="方正仿宋_GBK" w:hAnsi="方正仿宋_GBK" w:cs="方正仿宋_GBK" w:hint="eastAsia"/>
                <w:color w:val="000000"/>
                <w:kern w:val="0"/>
                <w:sz w:val="24"/>
                <w:szCs w:val="24"/>
              </w:rPr>
              <w:t>最低价为基准价，其价格分为满分。其他报价得分统一按下列公式计算：报价得分=（基准价/</w:t>
            </w:r>
            <w:r w:rsidR="00864520">
              <w:rPr>
                <w:rFonts w:ascii="方正仿宋_GBK" w:eastAsia="方正仿宋_GBK" w:hAnsi="方正仿宋_GBK" w:cs="方正仿宋_GBK" w:hint="eastAsia"/>
                <w:color w:val="000000"/>
                <w:kern w:val="0"/>
                <w:sz w:val="24"/>
                <w:szCs w:val="24"/>
              </w:rPr>
              <w:t>其他</w:t>
            </w:r>
            <w:r>
              <w:rPr>
                <w:rFonts w:ascii="方正仿宋_GBK" w:eastAsia="方正仿宋_GBK" w:hAnsi="方正仿宋_GBK" w:cs="方正仿宋_GBK" w:hint="eastAsia"/>
                <w:color w:val="000000"/>
                <w:kern w:val="0"/>
                <w:sz w:val="24"/>
                <w:szCs w:val="24"/>
              </w:rPr>
              <w:t>报价）*80</w:t>
            </w:r>
          </w:p>
        </w:tc>
      </w:tr>
      <w:tr w:rsidR="00F57C24">
        <w:trPr>
          <w:trHeight w:val="2162"/>
          <w:jc w:val="center"/>
        </w:trPr>
        <w:tc>
          <w:tcPr>
            <w:tcW w:w="853" w:type="dxa"/>
            <w:vAlign w:val="center"/>
          </w:tcPr>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2</w:t>
            </w:r>
          </w:p>
        </w:tc>
        <w:tc>
          <w:tcPr>
            <w:tcW w:w="1676" w:type="dxa"/>
            <w:vAlign w:val="center"/>
          </w:tcPr>
          <w:p w:rsidR="00F57C24" w:rsidRDefault="00864520">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派送时效</w:t>
            </w:r>
          </w:p>
        </w:tc>
        <w:tc>
          <w:tcPr>
            <w:tcW w:w="1920" w:type="dxa"/>
            <w:vAlign w:val="center"/>
          </w:tcPr>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10%</w:t>
            </w:r>
          </w:p>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（满分10分）</w:t>
            </w:r>
          </w:p>
        </w:tc>
        <w:tc>
          <w:tcPr>
            <w:tcW w:w="1170" w:type="dxa"/>
            <w:vAlign w:val="center"/>
          </w:tcPr>
          <w:p w:rsidR="00F57C24" w:rsidRDefault="00F57C24">
            <w:pPr>
              <w:snapToGrid w:val="0"/>
              <w:spacing w:line="312" w:lineRule="auto"/>
              <w:jc w:val="center"/>
              <w:rPr>
                <w:rFonts w:ascii="方正仿宋_GBK" w:eastAsia="方正仿宋_GBK" w:hAnsi="方正仿宋_GBK" w:cs="方正仿宋_GBK"/>
                <w:color w:val="000000"/>
                <w:kern w:val="0"/>
                <w:sz w:val="28"/>
                <w:szCs w:val="28"/>
              </w:rPr>
            </w:pPr>
          </w:p>
        </w:tc>
        <w:tc>
          <w:tcPr>
            <w:tcW w:w="3845" w:type="dxa"/>
            <w:vAlign w:val="center"/>
          </w:tcPr>
          <w:p w:rsidR="00F57C24" w:rsidRDefault="0091029E">
            <w:pPr>
              <w:snapToGrid w:val="0"/>
              <w:spacing w:line="312" w:lineRule="auto"/>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1、综合考虑</w:t>
            </w:r>
            <w:r w:rsidR="00864520">
              <w:rPr>
                <w:rFonts w:ascii="方正仿宋_GBK" w:eastAsia="方正仿宋_GBK" w:hAnsi="方正仿宋_GBK" w:cs="方正仿宋_GBK" w:hint="eastAsia"/>
                <w:color w:val="000000"/>
                <w:kern w:val="0"/>
                <w:sz w:val="24"/>
                <w:szCs w:val="24"/>
              </w:rPr>
              <w:t>北京市内派送时效</w:t>
            </w:r>
            <w:r>
              <w:rPr>
                <w:rFonts w:ascii="方正仿宋_GBK" w:eastAsia="方正仿宋_GBK" w:hAnsi="方正仿宋_GBK" w:cs="方正仿宋_GBK" w:hint="eastAsia"/>
                <w:color w:val="000000"/>
                <w:kern w:val="0"/>
                <w:sz w:val="24"/>
                <w:szCs w:val="24"/>
              </w:rPr>
              <w:t>，给予1-5分。</w:t>
            </w:r>
          </w:p>
          <w:p w:rsidR="00F57C24" w:rsidRDefault="0091029E">
            <w:pPr>
              <w:snapToGrid w:val="0"/>
              <w:spacing w:line="312" w:lineRule="auto"/>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2、</w:t>
            </w:r>
            <w:r w:rsidR="00864520">
              <w:rPr>
                <w:rFonts w:ascii="方正仿宋_GBK" w:eastAsia="方正仿宋_GBK" w:hAnsi="方正仿宋_GBK" w:cs="方正仿宋_GBK" w:hint="eastAsia"/>
                <w:color w:val="000000"/>
                <w:kern w:val="0"/>
                <w:sz w:val="24"/>
                <w:szCs w:val="24"/>
              </w:rPr>
              <w:t>综合考虑跨市派送时效，给予1-5分。</w:t>
            </w:r>
          </w:p>
        </w:tc>
      </w:tr>
      <w:tr w:rsidR="00F57C24">
        <w:trPr>
          <w:trHeight w:val="1708"/>
          <w:jc w:val="center"/>
        </w:trPr>
        <w:tc>
          <w:tcPr>
            <w:tcW w:w="853" w:type="dxa"/>
            <w:vAlign w:val="center"/>
          </w:tcPr>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w:t>
            </w:r>
          </w:p>
        </w:tc>
        <w:tc>
          <w:tcPr>
            <w:tcW w:w="1676" w:type="dxa"/>
            <w:vAlign w:val="center"/>
          </w:tcPr>
          <w:p w:rsidR="00F57C24" w:rsidRDefault="00864520">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文件回执</w:t>
            </w:r>
          </w:p>
        </w:tc>
        <w:tc>
          <w:tcPr>
            <w:tcW w:w="1920" w:type="dxa"/>
            <w:vAlign w:val="center"/>
          </w:tcPr>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10%</w:t>
            </w:r>
          </w:p>
          <w:p w:rsidR="00F57C24" w:rsidRDefault="0091029E">
            <w:pPr>
              <w:snapToGrid w:val="0"/>
              <w:spacing w:line="312" w:lineRule="auto"/>
              <w:jc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（满分10分）</w:t>
            </w:r>
          </w:p>
        </w:tc>
        <w:tc>
          <w:tcPr>
            <w:tcW w:w="1170" w:type="dxa"/>
            <w:vAlign w:val="center"/>
          </w:tcPr>
          <w:p w:rsidR="00F57C24" w:rsidRDefault="00F57C24">
            <w:pPr>
              <w:snapToGrid w:val="0"/>
              <w:spacing w:line="312" w:lineRule="auto"/>
              <w:jc w:val="center"/>
              <w:rPr>
                <w:rFonts w:ascii="方正仿宋_GBK" w:eastAsia="方正仿宋_GBK" w:hAnsi="方正仿宋_GBK" w:cs="方正仿宋_GBK"/>
                <w:color w:val="000000"/>
                <w:kern w:val="0"/>
                <w:sz w:val="28"/>
                <w:szCs w:val="28"/>
              </w:rPr>
            </w:pPr>
          </w:p>
        </w:tc>
        <w:tc>
          <w:tcPr>
            <w:tcW w:w="3845" w:type="dxa"/>
            <w:vAlign w:val="center"/>
          </w:tcPr>
          <w:p w:rsidR="00F57C24" w:rsidRDefault="0091029E">
            <w:pPr>
              <w:snapToGrid w:val="0"/>
              <w:spacing w:line="312" w:lineRule="auto"/>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1、</w:t>
            </w:r>
            <w:r w:rsidR="00CC463F">
              <w:rPr>
                <w:rFonts w:ascii="方正仿宋_GBK" w:eastAsia="方正仿宋_GBK" w:hAnsi="方正仿宋_GBK" w:cs="方正仿宋_GBK" w:hint="eastAsia"/>
                <w:color w:val="000000"/>
                <w:kern w:val="0"/>
                <w:sz w:val="24"/>
                <w:szCs w:val="24"/>
              </w:rPr>
              <w:t>文件回执效率</w:t>
            </w:r>
            <w:r>
              <w:rPr>
                <w:rFonts w:ascii="方正仿宋_GBK" w:eastAsia="方正仿宋_GBK" w:hAnsi="方正仿宋_GBK" w:cs="方正仿宋_GBK" w:hint="eastAsia"/>
                <w:color w:val="000000"/>
                <w:kern w:val="0"/>
                <w:sz w:val="24"/>
                <w:szCs w:val="24"/>
              </w:rPr>
              <w:t>给予1-5分。</w:t>
            </w:r>
          </w:p>
          <w:p w:rsidR="00F57C24" w:rsidRDefault="0091029E" w:rsidP="00CC463F">
            <w:pPr>
              <w:snapToGrid w:val="0"/>
              <w:spacing w:line="312" w:lineRule="auto"/>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2、</w:t>
            </w:r>
            <w:r w:rsidR="00CC463F">
              <w:rPr>
                <w:rFonts w:ascii="方正仿宋_GBK" w:eastAsia="方正仿宋_GBK" w:hAnsi="方正仿宋_GBK" w:cs="方正仿宋_GBK" w:hint="eastAsia"/>
                <w:color w:val="000000"/>
                <w:kern w:val="0"/>
                <w:sz w:val="24"/>
                <w:szCs w:val="24"/>
              </w:rPr>
              <w:t>回执收费情况</w:t>
            </w:r>
            <w:r>
              <w:rPr>
                <w:rFonts w:ascii="方正仿宋_GBK" w:eastAsia="方正仿宋_GBK" w:hAnsi="方正仿宋_GBK" w:cs="方正仿宋_GBK" w:hint="eastAsia"/>
                <w:color w:val="000000"/>
                <w:kern w:val="0"/>
                <w:sz w:val="24"/>
                <w:szCs w:val="24"/>
              </w:rPr>
              <w:t>，给予1-5分。</w:t>
            </w:r>
          </w:p>
        </w:tc>
      </w:tr>
      <w:tr w:rsidR="00F57C24">
        <w:trPr>
          <w:trHeight w:val="737"/>
          <w:jc w:val="center"/>
        </w:trPr>
        <w:tc>
          <w:tcPr>
            <w:tcW w:w="2529" w:type="dxa"/>
            <w:gridSpan w:val="2"/>
            <w:vAlign w:val="center"/>
          </w:tcPr>
          <w:p w:rsidR="00F57C24" w:rsidRDefault="0091029E">
            <w:pPr>
              <w:jc w:val="center"/>
              <w:rPr>
                <w:rFonts w:ascii="宋体" w:hAnsi="宋体" w:cs="宋体"/>
                <w:color w:val="000000"/>
                <w:kern w:val="0"/>
                <w:sz w:val="28"/>
                <w:szCs w:val="28"/>
              </w:rPr>
            </w:pPr>
            <w:r>
              <w:rPr>
                <w:rFonts w:ascii="宋体" w:hAnsi="宋体" w:cs="宋体" w:hint="eastAsia"/>
                <w:b/>
                <w:bCs/>
                <w:color w:val="000000"/>
                <w:kern w:val="0"/>
                <w:sz w:val="28"/>
                <w:szCs w:val="28"/>
              </w:rPr>
              <w:t>总计</w:t>
            </w:r>
          </w:p>
        </w:tc>
        <w:tc>
          <w:tcPr>
            <w:tcW w:w="1920" w:type="dxa"/>
            <w:vAlign w:val="center"/>
          </w:tcPr>
          <w:p w:rsidR="00F57C24" w:rsidRDefault="0091029E">
            <w:pPr>
              <w:jc w:val="center"/>
              <w:rPr>
                <w:rFonts w:ascii="宋体" w:hAnsi="宋体" w:cs="宋体"/>
                <w:color w:val="000000"/>
                <w:kern w:val="0"/>
                <w:sz w:val="28"/>
                <w:szCs w:val="28"/>
              </w:rPr>
            </w:pPr>
            <w:r>
              <w:rPr>
                <w:rFonts w:ascii="宋体" w:hAnsi="宋体" w:cs="宋体" w:hint="eastAsia"/>
                <w:color w:val="000000"/>
                <w:kern w:val="0"/>
                <w:sz w:val="28"/>
                <w:szCs w:val="28"/>
              </w:rPr>
              <w:t>100%</w:t>
            </w:r>
          </w:p>
          <w:p w:rsidR="00F57C24" w:rsidRDefault="0091029E">
            <w:pPr>
              <w:jc w:val="center"/>
              <w:rPr>
                <w:rFonts w:ascii="宋体" w:hAnsi="宋体" w:cs="宋体"/>
                <w:color w:val="000000"/>
                <w:kern w:val="0"/>
                <w:sz w:val="28"/>
                <w:szCs w:val="28"/>
              </w:rPr>
            </w:pPr>
            <w:r>
              <w:rPr>
                <w:rFonts w:ascii="宋体" w:hAnsi="宋体" w:cs="宋体" w:hint="eastAsia"/>
                <w:color w:val="000000"/>
                <w:kern w:val="0"/>
                <w:sz w:val="28"/>
                <w:szCs w:val="28"/>
              </w:rPr>
              <w:t>（满分</w:t>
            </w:r>
            <w:r>
              <w:rPr>
                <w:rFonts w:ascii="宋体" w:hAnsi="宋体" w:cs="宋体" w:hint="eastAsia"/>
                <w:color w:val="000000"/>
                <w:kern w:val="0"/>
                <w:sz w:val="28"/>
                <w:szCs w:val="28"/>
              </w:rPr>
              <w:t>100</w:t>
            </w:r>
            <w:r>
              <w:rPr>
                <w:rFonts w:ascii="宋体" w:hAnsi="宋体" w:cs="宋体" w:hint="eastAsia"/>
                <w:color w:val="000000"/>
                <w:kern w:val="0"/>
                <w:sz w:val="28"/>
                <w:szCs w:val="28"/>
              </w:rPr>
              <w:t>分）</w:t>
            </w:r>
          </w:p>
        </w:tc>
        <w:tc>
          <w:tcPr>
            <w:tcW w:w="1170" w:type="dxa"/>
            <w:vAlign w:val="center"/>
          </w:tcPr>
          <w:p w:rsidR="00F57C24" w:rsidRDefault="00F57C24">
            <w:pPr>
              <w:jc w:val="center"/>
              <w:rPr>
                <w:rFonts w:ascii="楷体_GB2312" w:eastAsia="楷体_GB2312"/>
                <w:color w:val="000000"/>
                <w:kern w:val="0"/>
                <w:sz w:val="28"/>
                <w:szCs w:val="28"/>
              </w:rPr>
            </w:pPr>
          </w:p>
        </w:tc>
        <w:tc>
          <w:tcPr>
            <w:tcW w:w="3845" w:type="dxa"/>
            <w:vAlign w:val="center"/>
          </w:tcPr>
          <w:p w:rsidR="00F57C24" w:rsidRDefault="00F57C24">
            <w:pPr>
              <w:jc w:val="center"/>
              <w:rPr>
                <w:rFonts w:ascii="楷体_GB2312" w:eastAsia="楷体_GB2312"/>
                <w:color w:val="000000"/>
                <w:kern w:val="0"/>
                <w:sz w:val="28"/>
                <w:szCs w:val="28"/>
              </w:rPr>
            </w:pPr>
          </w:p>
        </w:tc>
      </w:tr>
    </w:tbl>
    <w:p w:rsidR="00F57C24" w:rsidRDefault="00F57C24">
      <w:pPr>
        <w:jc w:val="left"/>
        <w:rPr>
          <w:rFonts w:ascii="仿宋_GB2312" w:eastAsia="仿宋_GB2312"/>
          <w:sz w:val="32"/>
          <w:szCs w:val="32"/>
        </w:rPr>
      </w:pPr>
    </w:p>
    <w:sectPr w:rsidR="00F57C24">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51" w:rsidRDefault="004C6851">
      <w:r>
        <w:separator/>
      </w:r>
    </w:p>
  </w:endnote>
  <w:endnote w:type="continuationSeparator" w:id="0">
    <w:p w:rsidR="004C6851" w:rsidRDefault="004C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4" w:rsidRDefault="0091029E">
    <w:pPr>
      <w:pStyle w:val="a5"/>
      <w:jc w:val="center"/>
    </w:pPr>
    <w:r>
      <w:fldChar w:fldCharType="begin"/>
    </w:r>
    <w:r>
      <w:instrText>PAGE   \* MERGEFORMAT</w:instrText>
    </w:r>
    <w:r>
      <w:fldChar w:fldCharType="separate"/>
    </w:r>
    <w:r w:rsidR="00BA5473" w:rsidRPr="00BA5473">
      <w:rPr>
        <w:noProof/>
        <w:lang w:val="zh-CN"/>
      </w:rPr>
      <w:t>3</w:t>
    </w:r>
    <w:r>
      <w:fldChar w:fldCharType="end"/>
    </w:r>
  </w:p>
  <w:p w:rsidR="00F57C24" w:rsidRDefault="00F57C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51" w:rsidRDefault="004C6851">
      <w:r>
        <w:separator/>
      </w:r>
    </w:p>
  </w:footnote>
  <w:footnote w:type="continuationSeparator" w:id="0">
    <w:p w:rsidR="004C6851" w:rsidRDefault="004C6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2"/>
  </w:compat>
  <w:rsids>
    <w:rsidRoot w:val="00D35248"/>
    <w:rsid w:val="B77E31DE"/>
    <w:rsid w:val="BFFB9965"/>
    <w:rsid w:val="F47FB084"/>
    <w:rsid w:val="FF5E54F1"/>
    <w:rsid w:val="FFFDCCF3"/>
    <w:rsid w:val="000A35AA"/>
    <w:rsid w:val="000E6B64"/>
    <w:rsid w:val="00231B8C"/>
    <w:rsid w:val="002738AC"/>
    <w:rsid w:val="00280427"/>
    <w:rsid w:val="002C17AE"/>
    <w:rsid w:val="00340624"/>
    <w:rsid w:val="003B4912"/>
    <w:rsid w:val="003C67FF"/>
    <w:rsid w:val="004C6851"/>
    <w:rsid w:val="005148B3"/>
    <w:rsid w:val="00642AC8"/>
    <w:rsid w:val="007E49FB"/>
    <w:rsid w:val="00821138"/>
    <w:rsid w:val="0085232F"/>
    <w:rsid w:val="00864520"/>
    <w:rsid w:val="0091029E"/>
    <w:rsid w:val="00BA5473"/>
    <w:rsid w:val="00BD475A"/>
    <w:rsid w:val="00C9676A"/>
    <w:rsid w:val="00CC463F"/>
    <w:rsid w:val="00CC6A03"/>
    <w:rsid w:val="00D35248"/>
    <w:rsid w:val="00F57C24"/>
    <w:rsid w:val="00FD64E3"/>
    <w:rsid w:val="355F7A1D"/>
    <w:rsid w:val="37BF4DAA"/>
    <w:rsid w:val="64FF51B0"/>
    <w:rsid w:val="6E8BCAB4"/>
    <w:rsid w:val="6F8B253C"/>
    <w:rsid w:val="75BDB7C6"/>
    <w:rsid w:val="7B5F7602"/>
    <w:rsid w:val="7FFEC1A5"/>
    <w:rsid w:val="7FFFB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1E89"/>
  <w15:docId w15:val="{C0AE1029-E8B5-41C8-96DE-A0FDB6DA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cs="Arial"/>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annotation subject"/>
    <w:basedOn w:val="a3"/>
    <w:next w:val="a3"/>
    <w:qFormat/>
    <w:rPr>
      <w:b/>
      <w:bCs/>
    </w:rPr>
  </w:style>
  <w:style w:type="character" w:styleId="a9">
    <w:name w:val="Strong"/>
    <w:basedOn w:val="a0"/>
    <w:qFormat/>
    <w:rPr>
      <w:b/>
    </w:rPr>
  </w:style>
  <w:style w:type="character" w:styleId="aa">
    <w:name w:val="Hyperlink"/>
    <w:basedOn w:val="a0"/>
    <w:qFormat/>
    <w:rPr>
      <w:color w:val="0563C1"/>
      <w:u w:val="single"/>
    </w:rPr>
  </w:style>
  <w:style w:type="character" w:styleId="ab">
    <w:name w:val="annotation reference"/>
    <w:basedOn w:val="a0"/>
    <w:qFormat/>
    <w:rPr>
      <w:sz w:val="21"/>
      <w:szCs w:val="21"/>
    </w:rPr>
  </w:style>
  <w:style w:type="paragraph" w:customStyle="1" w:styleId="TOC1">
    <w:name w:val="TOC 标题1"/>
    <w:basedOn w:val="1"/>
    <w:next w:val="a"/>
    <w:qFormat/>
    <w:pPr>
      <w:widowControl/>
      <w:spacing w:before="240" w:after="0" w:line="259" w:lineRule="auto"/>
      <w:jc w:val="left"/>
      <w:outlineLvl w:val="9"/>
    </w:pPr>
    <w:rPr>
      <w:rFonts w:ascii="等线 Light" w:eastAsia="等线 Light" w:cs="Times New Roman"/>
      <w:b w:val="0"/>
      <w:bCs w:val="0"/>
      <w:color w:val="2E74B5"/>
      <w:kern w:val="0"/>
      <w:sz w:val="32"/>
      <w:szCs w:val="32"/>
    </w:rPr>
  </w:style>
  <w:style w:type="paragraph" w:customStyle="1" w:styleId="11">
    <w:name w:val="修订1"/>
    <w:qFormat/>
    <w:rPr>
      <w:rFonts w:ascii="等线" w:eastAsia="等线" w:cs="Arial"/>
      <w:kern w:val="2"/>
      <w:sz w:val="21"/>
      <w:szCs w:val="22"/>
    </w:rPr>
  </w:style>
  <w:style w:type="character" w:customStyle="1" w:styleId="12">
    <w:name w:val="未处理的提及1"/>
    <w:basedOn w:val="a0"/>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uzhc@cmdm.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高阳阳</dc:creator>
  <cp:lastModifiedBy>赵帅:采购管理员</cp:lastModifiedBy>
  <cp:revision>45</cp:revision>
  <dcterms:created xsi:type="dcterms:W3CDTF">2022-09-03T23:55:00Z</dcterms:created>
  <dcterms:modified xsi:type="dcterms:W3CDTF">2023-04-26T08:14:00Z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